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DA06" w14:textId="74D8DCB3" w:rsidR="0071205E" w:rsidRPr="0071205E" w:rsidRDefault="00D22839" w:rsidP="00521E86">
      <w:pPr>
        <w:widowControl/>
        <w:spacing w:after="120"/>
        <w:jc w:val="center"/>
        <w:outlineLvl w:val="0"/>
        <w:rPr>
          <w:rFonts w:ascii="Garamond" w:hAnsi="Garamond"/>
          <w:b/>
          <w:bCs/>
          <w:sz w:val="24"/>
          <w:szCs w:val="24"/>
        </w:rPr>
      </w:pPr>
      <w:r>
        <w:rPr>
          <w:rFonts w:ascii="Garamond" w:hAnsi="Garamond"/>
          <w:b/>
          <w:bCs/>
          <w:sz w:val="24"/>
          <w:szCs w:val="24"/>
        </w:rPr>
        <w:t>Starbucks Corp. v. Wolfe’s Borough Coffee, Inc.</w:t>
      </w:r>
    </w:p>
    <w:p w14:paraId="4385A3E5" w14:textId="77777777" w:rsidR="00903764" w:rsidRPr="0071205E" w:rsidRDefault="0071205E" w:rsidP="0071205E">
      <w:pPr>
        <w:widowControl/>
        <w:spacing w:after="120"/>
        <w:jc w:val="center"/>
        <w:rPr>
          <w:rFonts w:ascii="Garamond" w:hAnsi="Garamond"/>
          <w:bCs/>
          <w:sz w:val="24"/>
          <w:szCs w:val="24"/>
        </w:rPr>
      </w:pPr>
      <w:r w:rsidRPr="0071205E">
        <w:rPr>
          <w:rFonts w:ascii="Garamond" w:hAnsi="Garamond"/>
          <w:bCs/>
          <w:sz w:val="24"/>
          <w:szCs w:val="24"/>
        </w:rPr>
        <w:t>736 F.3d 198</w:t>
      </w:r>
      <w:r w:rsidR="00903764" w:rsidRPr="0071205E">
        <w:rPr>
          <w:rFonts w:ascii="Garamond" w:hAnsi="Garamond"/>
          <w:bCs/>
          <w:sz w:val="24"/>
          <w:szCs w:val="24"/>
        </w:rPr>
        <w:t xml:space="preserve"> (2d Cir. 2013)</w:t>
      </w:r>
    </w:p>
    <w:p w14:paraId="78ED60E7" w14:textId="77777777" w:rsidR="0071205E" w:rsidRPr="0071205E" w:rsidRDefault="0071205E" w:rsidP="0071205E">
      <w:pPr>
        <w:widowControl/>
        <w:spacing w:after="120"/>
        <w:jc w:val="both"/>
        <w:rPr>
          <w:rFonts w:ascii="Garamond" w:hAnsi="Garamond"/>
          <w:sz w:val="24"/>
          <w:szCs w:val="24"/>
        </w:rPr>
      </w:pPr>
      <w:r w:rsidRPr="0071205E">
        <w:rPr>
          <w:rFonts w:ascii="Garamond" w:hAnsi="Garamond"/>
          <w:sz w:val="24"/>
          <w:szCs w:val="24"/>
        </w:rPr>
        <w:t>LOHIER, Circuit Judge:</w:t>
      </w:r>
    </w:p>
    <w:p w14:paraId="45AB8085"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Starbucks Corporation and Starbucks U.S. Brands LLC (together, "Starbucks") appeal from a judgment of the United States District Court for the Southern District of New York (Swain, J.) denying Starbucks' request for an injunction pursuant to the Federal Trademark Dilution Act of 1995 ("FTDA"), 15 U.S.C. ß 1125(c), prohibiting Wolfe's Borough Coffee, Inc., doing business as Black Bear Micro Roastery ("Black Bear"), from using Black Bear's "Mister Charbucks," "Mr. Charbucks," and "Charbucks Blend" marks (the "Charbucks Marks"). After a bench trial followed by additional briefing from the parties upon remand from this Court, the District Court concluded that Starbucks failed to prove that the Charbucks Marks are likely to dilute Starbucks' famous "Starbucks" marks (the "Sta</w:t>
      </w:r>
      <w:r w:rsidRPr="0071205E">
        <w:rPr>
          <w:rFonts w:ascii="Garamond" w:hAnsi="Garamond"/>
          <w:sz w:val="24"/>
          <w:szCs w:val="24"/>
        </w:rPr>
        <w:t>r</w:t>
      </w:r>
      <w:r w:rsidRPr="0071205E">
        <w:rPr>
          <w:rFonts w:ascii="Garamond" w:hAnsi="Garamond"/>
          <w:sz w:val="24"/>
          <w:szCs w:val="24"/>
        </w:rPr>
        <w:t>bucks Marks") and denied Starbucks' request for an injunction.</w:t>
      </w:r>
    </w:p>
    <w:p w14:paraId="5F6E38DE"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On appeal, Starbucks argues that the District Court erred in finding only minimal similarity and weak evidence of actual ass</w:t>
      </w:r>
      <w:r w:rsidR="00903764" w:rsidRPr="0071205E">
        <w:rPr>
          <w:rFonts w:ascii="Garamond" w:hAnsi="Garamond"/>
          <w:sz w:val="24"/>
          <w:szCs w:val="24"/>
        </w:rPr>
        <w:t xml:space="preserve">ociation between the Charbucks </w:t>
      </w:r>
      <w:r w:rsidRPr="0071205E">
        <w:rPr>
          <w:rFonts w:ascii="Garamond" w:hAnsi="Garamond"/>
          <w:sz w:val="24"/>
          <w:szCs w:val="24"/>
        </w:rPr>
        <w:t>Marks and the Starbucks Marks. Starbucks also contends that the District Court erred in balancing the statutory dilution factors by giving no weight at all to three of the factors--the strong distinctiveness, exclusive use, and high degree of reco</w:t>
      </w:r>
      <w:r w:rsidRPr="0071205E">
        <w:rPr>
          <w:rFonts w:ascii="Garamond" w:hAnsi="Garamond"/>
          <w:sz w:val="24"/>
          <w:szCs w:val="24"/>
        </w:rPr>
        <w:t>g</w:t>
      </w:r>
      <w:r w:rsidRPr="0071205E">
        <w:rPr>
          <w:rFonts w:ascii="Garamond" w:hAnsi="Garamond"/>
          <w:sz w:val="24"/>
          <w:szCs w:val="24"/>
        </w:rPr>
        <w:t>nition of the Starbucks Marks--and placing undue weight on the minimal similarity between the marks.</w:t>
      </w:r>
    </w:p>
    <w:p w14:paraId="22889296"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For the following reasons, we conclude that the District Court did not err in its factual findings, and, balancing the statutory factors de novo, we agree with the District Court that Starbucks failed to prove a likelihood of dilution. We therefore affirm.</w:t>
      </w:r>
    </w:p>
    <w:p w14:paraId="6C6C5A95" w14:textId="77777777" w:rsidR="0071205E" w:rsidRPr="0071205E" w:rsidRDefault="0071205E" w:rsidP="0071205E">
      <w:pPr>
        <w:widowControl/>
        <w:spacing w:after="120"/>
        <w:ind w:firstLine="720"/>
        <w:jc w:val="both"/>
        <w:rPr>
          <w:rFonts w:ascii="Garamond" w:hAnsi="Garamond"/>
          <w:sz w:val="24"/>
          <w:szCs w:val="24"/>
        </w:rPr>
      </w:pPr>
    </w:p>
    <w:p w14:paraId="13DBFB05" w14:textId="441B83F9" w:rsidR="0071205E" w:rsidRPr="0071205E" w:rsidRDefault="0071205E" w:rsidP="0071205E">
      <w:pPr>
        <w:widowControl/>
        <w:spacing w:after="120"/>
        <w:jc w:val="center"/>
        <w:rPr>
          <w:rFonts w:ascii="Garamond" w:hAnsi="Garamond"/>
          <w:sz w:val="24"/>
          <w:szCs w:val="24"/>
        </w:rPr>
      </w:pPr>
      <w:r w:rsidRPr="0071205E">
        <w:rPr>
          <w:rFonts w:ascii="Garamond" w:hAnsi="Garamond"/>
          <w:sz w:val="24"/>
          <w:szCs w:val="24"/>
        </w:rPr>
        <w:t xml:space="preserve">[*201]  </w:t>
      </w:r>
      <w:r w:rsidR="00271898">
        <w:rPr>
          <w:rFonts w:ascii="Garamond" w:hAnsi="Garamond"/>
          <w:b/>
          <w:bCs/>
          <w:sz w:val="24"/>
          <w:szCs w:val="24"/>
        </w:rPr>
        <w:t>Background</w:t>
      </w:r>
    </w:p>
    <w:p w14:paraId="7939B013" w14:textId="77777777" w:rsidR="00903764"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We assume familiarity with the underlying facts and long procedural history of the case, which are set forth in our previous opinions, Starbucks Corp. v. Wolfe's Borough Coffee, Inc., 477 F.3d 765 (2d Cir. 2007) ("Starbucks II"), and Starbucks Corp. v. Wolfe's Borough Coffee, Inc., 588 F.3d 97 (2d Cir. 2009) ("Starbucks IV"). We recount them here only as necessary to explain our disposition of this appeal</w:t>
      </w:r>
      <w:r w:rsidR="00903764" w:rsidRPr="0071205E">
        <w:rPr>
          <w:rFonts w:ascii="Garamond" w:hAnsi="Garamond"/>
          <w:sz w:val="24"/>
          <w:szCs w:val="24"/>
        </w:rPr>
        <w:t>.</w:t>
      </w:r>
    </w:p>
    <w:p w14:paraId="3524D11F"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As of 2005, when the bench trial occurred, Starbucks had g</w:t>
      </w:r>
      <w:r w:rsidR="00903764" w:rsidRPr="0071205E">
        <w:rPr>
          <w:rFonts w:ascii="Garamond" w:hAnsi="Garamond"/>
          <w:sz w:val="24"/>
          <w:szCs w:val="24"/>
        </w:rPr>
        <w:t xml:space="preserve">rown from a single coffee shop </w:t>
      </w:r>
      <w:r w:rsidRPr="0071205E">
        <w:rPr>
          <w:rFonts w:ascii="Garamond" w:hAnsi="Garamond"/>
          <w:sz w:val="24"/>
          <w:szCs w:val="24"/>
        </w:rPr>
        <w:t>in Seattle in 1971 to a singularly prominent global purveyor of specialty coffee and coffee products, with 8,700 retail locations worldwide and revenues of $5.3 billion for fiscal year 2004. Starbucks U.S. Brands is the owner, and Starbucks Corporation a licensee, of at least 56 valid United States trademark registr</w:t>
      </w:r>
      <w:r w:rsidRPr="0071205E">
        <w:rPr>
          <w:rFonts w:ascii="Garamond" w:hAnsi="Garamond"/>
          <w:sz w:val="24"/>
          <w:szCs w:val="24"/>
        </w:rPr>
        <w:t>a</w:t>
      </w:r>
      <w:r w:rsidRPr="0071205E">
        <w:rPr>
          <w:rFonts w:ascii="Garamond" w:hAnsi="Garamond"/>
          <w:sz w:val="24"/>
          <w:szCs w:val="24"/>
        </w:rPr>
        <w:t>tions that include the Starbucks Marks. The Starbucks Marks are displayed on signs and at multiple l</w:t>
      </w:r>
      <w:r w:rsidRPr="0071205E">
        <w:rPr>
          <w:rFonts w:ascii="Garamond" w:hAnsi="Garamond"/>
          <w:sz w:val="24"/>
          <w:szCs w:val="24"/>
        </w:rPr>
        <w:t>o</w:t>
      </w:r>
      <w:r w:rsidRPr="0071205E">
        <w:rPr>
          <w:rFonts w:ascii="Garamond" w:hAnsi="Garamond"/>
          <w:sz w:val="24"/>
          <w:szCs w:val="24"/>
        </w:rPr>
        <w:t>cations in each Starbucks store, as well as on the Starbucks website.</w:t>
      </w:r>
    </w:p>
    <w:p w14:paraId="607774CA"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Starbucks has devoted substantial time, effort, and money to advertising and promoting the Starbucks Marks. From fiscal year 2000 to 2003, Starbucks spent over $136 million on advertising, promotion, and related marketing activities, essentially all of which featured the Starbucks Marks. Sta</w:t>
      </w:r>
      <w:r w:rsidRPr="0071205E">
        <w:rPr>
          <w:rFonts w:ascii="Garamond" w:hAnsi="Garamond"/>
          <w:sz w:val="24"/>
          <w:szCs w:val="24"/>
        </w:rPr>
        <w:t>r</w:t>
      </w:r>
      <w:r w:rsidRPr="0071205E">
        <w:rPr>
          <w:rFonts w:ascii="Garamond" w:hAnsi="Garamond"/>
          <w:sz w:val="24"/>
          <w:szCs w:val="24"/>
        </w:rPr>
        <w:t>bucks actively polices the Starbucks Marks, demanding that infringing uses be terminated and, where necessary, commencing litigation.</w:t>
      </w:r>
      <w:r w:rsidR="00903764" w:rsidRPr="0071205E">
        <w:rPr>
          <w:rFonts w:ascii="Garamond" w:hAnsi="Garamond"/>
          <w:sz w:val="24"/>
          <w:szCs w:val="24"/>
          <w:vertAlign w:val="superscript"/>
        </w:rPr>
        <w:t xml:space="preserve"> </w:t>
      </w:r>
      <w:r w:rsidRPr="0071205E">
        <w:rPr>
          <w:rFonts w:ascii="Garamond" w:hAnsi="Garamond"/>
          <w:sz w:val="24"/>
          <w:szCs w:val="24"/>
        </w:rPr>
        <w:t xml:space="preserve"> Well before Black Bear used t</w:t>
      </w:r>
      <w:r w:rsidR="00903764" w:rsidRPr="0071205E">
        <w:rPr>
          <w:rFonts w:ascii="Garamond" w:hAnsi="Garamond"/>
          <w:sz w:val="24"/>
          <w:szCs w:val="24"/>
        </w:rPr>
        <w:t xml:space="preserve">he term "Charbucks" as part of </w:t>
      </w:r>
      <w:r w:rsidRPr="0071205E">
        <w:rPr>
          <w:rFonts w:ascii="Garamond" w:hAnsi="Garamond"/>
          <w:sz w:val="24"/>
          <w:szCs w:val="24"/>
        </w:rPr>
        <w:t>any product name, the Starbucks Marks were "famous" within the meaning of the FTDA. See 15 U.S.C. ß 1125(c)(2)(A).</w:t>
      </w:r>
    </w:p>
    <w:p w14:paraId="61C8641D"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Black Bear manufactures and sells roasted coffee beans and related goods via mail and internet order, at a limited number of New England supermarkets, and at a single New Hampshire retail outlet. </w:t>
      </w:r>
      <w:r w:rsidRPr="0071205E">
        <w:rPr>
          <w:rFonts w:ascii="Garamond" w:hAnsi="Garamond"/>
          <w:sz w:val="24"/>
          <w:szCs w:val="24"/>
        </w:rPr>
        <w:lastRenderedPageBreak/>
        <w:t>In 1997 Black Bear developed a coffee blend named "Charbucks Blend"; it now sells a dark-roast coffee called "Mister Charbucks" or "Mr. Charbucks." When Black Bear began manufacturing coffee using the Charbucks Marks,</w:t>
      </w:r>
      <w:r w:rsidR="00903764" w:rsidRPr="0071205E">
        <w:rPr>
          <w:rFonts w:ascii="Garamond" w:hAnsi="Garamond"/>
          <w:sz w:val="24"/>
          <w:szCs w:val="24"/>
        </w:rPr>
        <w:t xml:space="preserve"> it was aware of the Starbucks </w:t>
      </w:r>
      <w:r w:rsidRPr="0071205E">
        <w:rPr>
          <w:rFonts w:ascii="Garamond" w:hAnsi="Garamond"/>
          <w:sz w:val="24"/>
          <w:szCs w:val="24"/>
        </w:rPr>
        <w:t>Marks. One of the reasons Black Bear used the term "Charbucks" was the public perception that Starbucks roasted its beans unusually darkly.</w:t>
      </w:r>
    </w:p>
    <w:p w14:paraId="5FB59A9A" w14:textId="159CA74A"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Soon after Black Bear began to sell Charbucks Blend, Starbucks demanded that it cease using the Charbucks Marks. Black Bear nevertheless continued to sell coffee under the Charbucks Marks, and in 2001 Starbucks started this action claiming, among other things, trademark dilution in violation of 15 U.S.C. </w:t>
      </w:r>
      <w:r w:rsidR="00521E86" w:rsidRPr="0071205E">
        <w:rPr>
          <w:rFonts w:ascii="Garamond" w:hAnsi="Garamond"/>
          <w:sz w:val="24"/>
          <w:szCs w:val="24"/>
        </w:rPr>
        <w:t>ß</w:t>
      </w:r>
      <w:r w:rsidRPr="0071205E">
        <w:rPr>
          <w:rFonts w:ascii="Garamond" w:hAnsi="Garamond"/>
          <w:sz w:val="24"/>
          <w:szCs w:val="24"/>
        </w:rPr>
        <w:t>ß 1125(c), 1127</w:t>
      </w:r>
      <w:r w:rsidR="00903764" w:rsidRPr="0071205E">
        <w:rPr>
          <w:rFonts w:ascii="Garamond" w:hAnsi="Garamond"/>
          <w:sz w:val="24"/>
          <w:szCs w:val="24"/>
        </w:rPr>
        <w:t>.</w:t>
      </w:r>
      <w:r w:rsidR="00903764" w:rsidRPr="0071205E">
        <w:rPr>
          <w:rStyle w:val="FootnoteReference"/>
          <w:rFonts w:ascii="Garamond" w:hAnsi="Garamond"/>
          <w:sz w:val="24"/>
          <w:szCs w:val="24"/>
        </w:rPr>
        <w:footnoteReference w:id="1"/>
      </w:r>
    </w:p>
    <w:p w14:paraId="6F739CBA" w14:textId="7F0B6D26"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 [*202]  The District Court held a two-day bench trial in March 2005. At trial, two matters of significance to this appeal occurred. First, Black Bear's founder, James O. Clark III, testified that the name "</w:t>
      </w:r>
      <w:r>
        <w:rPr>
          <w:rFonts w:ascii="Garamond" w:hAnsi="Garamond"/>
          <w:sz w:val="24"/>
          <w:szCs w:val="24"/>
        </w:rPr>
        <w:t xml:space="preserve">Charbucks" had previously been </w:t>
      </w:r>
      <w:r w:rsidRPr="0071205E">
        <w:rPr>
          <w:rFonts w:ascii="Garamond" w:hAnsi="Garamond"/>
          <w:sz w:val="24"/>
          <w:szCs w:val="24"/>
        </w:rPr>
        <w:t>used during "the coffee wars in Boston between Starbucks and the Coffee Connection," a Boston-based company.</w:t>
      </w:r>
      <w:r>
        <w:rPr>
          <w:rStyle w:val="FootnoteReference"/>
          <w:rFonts w:ascii="Garamond" w:hAnsi="Garamond"/>
          <w:sz w:val="24"/>
          <w:szCs w:val="24"/>
        </w:rPr>
        <w:footnoteReference w:id="2"/>
      </w:r>
      <w:r w:rsidRPr="0071205E">
        <w:rPr>
          <w:rFonts w:ascii="Garamond" w:hAnsi="Garamond"/>
          <w:sz w:val="24"/>
          <w:szCs w:val="24"/>
        </w:rPr>
        <w:t xml:space="preserve"> Second, Starbucks introduced the testimony of Warren J. Mitofsky, a scientist in the field of consumer research and polling. Mitofsky explained the results of a telephone survey he had conducted of six hundred participants, designed to be represent</w:t>
      </w:r>
      <w:r w:rsidRPr="0071205E">
        <w:rPr>
          <w:rFonts w:ascii="Garamond" w:hAnsi="Garamond"/>
          <w:sz w:val="24"/>
          <w:szCs w:val="24"/>
        </w:rPr>
        <w:t>a</w:t>
      </w:r>
      <w:r w:rsidRPr="0071205E">
        <w:rPr>
          <w:rFonts w:ascii="Garamond" w:hAnsi="Garamond"/>
          <w:sz w:val="24"/>
          <w:szCs w:val="24"/>
        </w:rPr>
        <w:t>tive of the United States population. The survey found that when asked, "What is the first thing that comes to your mind when you hear the name 'Charbucks,' spelled C-H-A-R-B-U-C-K-S?," 30.5 percent of participants answered "Starbucks," while 9 percent answered "coffee."</w:t>
      </w:r>
      <w:r>
        <w:rPr>
          <w:rStyle w:val="FootnoteReference"/>
          <w:rFonts w:ascii="Garamond" w:hAnsi="Garamond"/>
          <w:sz w:val="24"/>
          <w:szCs w:val="24"/>
        </w:rPr>
        <w:footnoteReference w:id="3"/>
      </w:r>
      <w:r w:rsidRPr="0071205E">
        <w:rPr>
          <w:rFonts w:ascii="Garamond" w:hAnsi="Garamond"/>
          <w:sz w:val="24"/>
          <w:szCs w:val="24"/>
        </w:rPr>
        <w:t xml:space="preserve"> When the participants were asked, "Can you name any company or store that you think might offer a product called 'Charbucks'?," 3.1 percent responded "Starbucks," and another 1.3 percent responded "coffee house."</w:t>
      </w:r>
      <w:r>
        <w:rPr>
          <w:rStyle w:val="FootnoteReference"/>
          <w:rFonts w:ascii="Garamond" w:hAnsi="Garamond"/>
          <w:sz w:val="24"/>
          <w:szCs w:val="24"/>
        </w:rPr>
        <w:footnoteReference w:id="4"/>
      </w:r>
      <w:r w:rsidRPr="0071205E">
        <w:rPr>
          <w:rFonts w:ascii="Garamond" w:hAnsi="Garamond"/>
          <w:sz w:val="24"/>
          <w:szCs w:val="24"/>
        </w:rPr>
        <w:t xml:space="preserve"> Mitofsky co</w:t>
      </w:r>
      <w:r w:rsidRPr="0071205E">
        <w:rPr>
          <w:rFonts w:ascii="Garamond" w:hAnsi="Garamond"/>
          <w:sz w:val="24"/>
          <w:szCs w:val="24"/>
        </w:rPr>
        <w:t>n</w:t>
      </w:r>
      <w:r w:rsidRPr="0071205E">
        <w:rPr>
          <w:rFonts w:ascii="Garamond" w:hAnsi="Garamond"/>
          <w:sz w:val="24"/>
          <w:szCs w:val="24"/>
        </w:rPr>
        <w:t>cluded that "[t]he number one association of the name 'Charbucks' in the minds of consumers is with the brand 'Starbucks.'" Commenting on the scope of his survey, Mitofsky also stated: "[I]f you want to know the reaction to the name Charbucks, then the telephone is perfectly adequate. If you want to measure the re</w:t>
      </w:r>
      <w:r w:rsidR="00521E86">
        <w:rPr>
          <w:rFonts w:ascii="Garamond" w:hAnsi="Garamond"/>
          <w:sz w:val="24"/>
          <w:szCs w:val="24"/>
        </w:rPr>
        <w:t xml:space="preserve">action or the familiarity with </w:t>
      </w:r>
      <w:r w:rsidRPr="0071205E">
        <w:rPr>
          <w:rFonts w:ascii="Garamond" w:hAnsi="Garamond"/>
          <w:sz w:val="24"/>
          <w:szCs w:val="24"/>
        </w:rPr>
        <w:t>other visual cues, then it's not the right method." Starbucks IV, 588 F.3d at 104.</w:t>
      </w:r>
    </w:p>
    <w:p w14:paraId="796CD4EC" w14:textId="0F8C415F"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In December 2005 the District Court ruled in favor of Black Bear and dismissed Starbucks' complaint. See Starbucks Corp. v. Wolfe's Borough Coffee, Inc., No. 01 Civ. 5981, 2005 U.S. Dist. LEXIS 35578, 2005 WL 3527126 (S.D.N.Y. Dec. 23, 2005) ("Starbucks I"). The District Court dete</w:t>
      </w:r>
      <w:r w:rsidRPr="0071205E">
        <w:rPr>
          <w:rFonts w:ascii="Garamond" w:hAnsi="Garamond"/>
          <w:sz w:val="24"/>
          <w:szCs w:val="24"/>
        </w:rPr>
        <w:t>r</w:t>
      </w:r>
      <w:r w:rsidRPr="0071205E">
        <w:rPr>
          <w:rFonts w:ascii="Garamond" w:hAnsi="Garamond"/>
          <w:sz w:val="24"/>
          <w:szCs w:val="24"/>
        </w:rPr>
        <w:t>mined that there was neither actual dilution, which would establish a violation of federal trademark law,</w:t>
      </w:r>
      <w:r w:rsidR="003E6FDD">
        <w:rPr>
          <w:rStyle w:val="FootnoteReference"/>
          <w:rFonts w:ascii="Garamond" w:hAnsi="Garamond"/>
          <w:sz w:val="24"/>
          <w:szCs w:val="24"/>
        </w:rPr>
        <w:footnoteReference w:id="5"/>
      </w:r>
      <w:r w:rsidRPr="0071205E">
        <w:rPr>
          <w:rFonts w:ascii="Garamond" w:hAnsi="Garamond"/>
          <w:sz w:val="24"/>
          <w:szCs w:val="24"/>
        </w:rPr>
        <w:t xml:space="preserve"> nor a likelihood of d</w:t>
      </w:r>
      <w:r w:rsidR="00521E86">
        <w:rPr>
          <w:rFonts w:ascii="Garamond" w:hAnsi="Garamond"/>
          <w:sz w:val="24"/>
          <w:szCs w:val="24"/>
        </w:rPr>
        <w:t xml:space="preserve">ilution, which would establish </w:t>
      </w:r>
      <w:r w:rsidRPr="0071205E">
        <w:rPr>
          <w:rFonts w:ascii="Garamond" w:hAnsi="Garamond"/>
          <w:sz w:val="24"/>
          <w:szCs w:val="24"/>
        </w:rPr>
        <w:t>a violation of New York trademark law.</w:t>
      </w:r>
    </w:p>
    <w:p w14:paraId="23F8C80D" w14:textId="30418391"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Starbucks appealed. While the appeal was pending, Congress passed the Trademark Dilution Revision Act of 2006 ("TDRA"), which amended the FTDA to clarify that the owner of a famous mark seeking an injunction need prove only that the defendant's mark "is likely to cause dilution . . . of the famous mark, regardless</w:t>
      </w:r>
      <w:r w:rsidR="003E6FDD">
        <w:rPr>
          <w:rFonts w:ascii="Garamond" w:hAnsi="Garamond"/>
          <w:sz w:val="24"/>
          <w:szCs w:val="24"/>
        </w:rPr>
        <w:t xml:space="preserve"> of the presence or absence of </w:t>
      </w:r>
      <w:r w:rsidRPr="0071205E">
        <w:rPr>
          <w:rFonts w:ascii="Garamond" w:hAnsi="Garamond"/>
          <w:sz w:val="24"/>
          <w:szCs w:val="24"/>
        </w:rPr>
        <w:t>actual or likely confusion, of competition, or of actual economic injury." 15 U.S.C. ß 1125(c)(1). The TDRA further redefined "dilution by blurring" as "association arising from the similarity between a mark  [*203]  or trade name and a famous mark that impairs the distinctiveness of the famous mark." Id. ß 1125(c)(2)(B). The statute provides the following direction to courts:</w:t>
      </w:r>
    </w:p>
    <w:p w14:paraId="41B0F90B" w14:textId="353889FE" w:rsidR="0071205E" w:rsidRPr="0071205E" w:rsidRDefault="0071205E" w:rsidP="003E6FDD">
      <w:pPr>
        <w:widowControl/>
        <w:spacing w:after="120"/>
        <w:ind w:left="720" w:right="720" w:firstLine="720"/>
        <w:jc w:val="both"/>
        <w:rPr>
          <w:rFonts w:ascii="Garamond" w:hAnsi="Garamond"/>
          <w:sz w:val="24"/>
          <w:szCs w:val="24"/>
        </w:rPr>
      </w:pPr>
      <w:r w:rsidRPr="0071205E">
        <w:rPr>
          <w:rFonts w:ascii="Garamond" w:hAnsi="Garamond"/>
          <w:sz w:val="24"/>
          <w:szCs w:val="24"/>
        </w:rPr>
        <w:t>In determining whether a mark or trade name is likely to cause dilution by blu</w:t>
      </w:r>
      <w:r w:rsidRPr="0071205E">
        <w:rPr>
          <w:rFonts w:ascii="Garamond" w:hAnsi="Garamond"/>
          <w:sz w:val="24"/>
          <w:szCs w:val="24"/>
        </w:rPr>
        <w:t>r</w:t>
      </w:r>
      <w:r w:rsidRPr="0071205E">
        <w:rPr>
          <w:rFonts w:ascii="Garamond" w:hAnsi="Garamond"/>
          <w:sz w:val="24"/>
          <w:szCs w:val="24"/>
        </w:rPr>
        <w:t>ring, the court may consider all relevant factors, including the following:</w:t>
      </w:r>
    </w:p>
    <w:p w14:paraId="1789B922" w14:textId="16F1B713" w:rsidR="0071205E" w:rsidRPr="0071205E" w:rsidRDefault="0071205E" w:rsidP="003E6FDD">
      <w:pPr>
        <w:widowControl/>
        <w:spacing w:after="120"/>
        <w:ind w:left="1728" w:right="720" w:hanging="720"/>
        <w:jc w:val="both"/>
        <w:rPr>
          <w:rFonts w:ascii="Garamond" w:hAnsi="Garamond"/>
          <w:sz w:val="24"/>
          <w:szCs w:val="24"/>
        </w:rPr>
      </w:pPr>
      <w:r w:rsidRPr="0071205E">
        <w:rPr>
          <w:rFonts w:ascii="Garamond" w:hAnsi="Garamond"/>
          <w:sz w:val="24"/>
          <w:szCs w:val="24"/>
        </w:rPr>
        <w:t>(i) The degree of similarity between the mark or trade name and the famous mark.</w:t>
      </w:r>
    </w:p>
    <w:p w14:paraId="19901BE1" w14:textId="77777777" w:rsidR="0071205E" w:rsidRPr="0071205E" w:rsidRDefault="0071205E" w:rsidP="003E6FDD">
      <w:pPr>
        <w:widowControl/>
        <w:spacing w:after="120"/>
        <w:ind w:left="1728" w:right="720" w:hanging="720"/>
        <w:jc w:val="both"/>
        <w:rPr>
          <w:rFonts w:ascii="Garamond" w:hAnsi="Garamond"/>
          <w:sz w:val="24"/>
          <w:szCs w:val="24"/>
        </w:rPr>
      </w:pPr>
      <w:r w:rsidRPr="0071205E">
        <w:rPr>
          <w:rFonts w:ascii="Garamond" w:hAnsi="Garamond"/>
          <w:sz w:val="24"/>
          <w:szCs w:val="24"/>
        </w:rPr>
        <w:t>(ii) The degree of inherent or acquired distinctiveness of the famous mark.</w:t>
      </w:r>
    </w:p>
    <w:p w14:paraId="488A4800" w14:textId="77777777" w:rsidR="0071205E" w:rsidRPr="0071205E" w:rsidRDefault="0071205E" w:rsidP="003E6FDD">
      <w:pPr>
        <w:widowControl/>
        <w:spacing w:after="120"/>
        <w:ind w:left="1728" w:right="720" w:hanging="720"/>
        <w:jc w:val="both"/>
        <w:rPr>
          <w:rFonts w:ascii="Garamond" w:hAnsi="Garamond"/>
          <w:sz w:val="24"/>
          <w:szCs w:val="24"/>
        </w:rPr>
      </w:pPr>
      <w:r w:rsidRPr="0071205E">
        <w:rPr>
          <w:rFonts w:ascii="Garamond" w:hAnsi="Garamond"/>
          <w:sz w:val="24"/>
          <w:szCs w:val="24"/>
        </w:rPr>
        <w:t>(iii) The extent to which the owner of the famous mark is engaging in substantially exclusive use of the mark.</w:t>
      </w:r>
    </w:p>
    <w:p w14:paraId="7BF909DA" w14:textId="77777777" w:rsidR="0071205E" w:rsidRPr="0071205E" w:rsidRDefault="0071205E" w:rsidP="003E6FDD">
      <w:pPr>
        <w:widowControl/>
        <w:spacing w:after="120"/>
        <w:ind w:left="1728" w:right="720" w:hanging="720"/>
        <w:jc w:val="both"/>
        <w:rPr>
          <w:rFonts w:ascii="Garamond" w:hAnsi="Garamond"/>
          <w:sz w:val="24"/>
          <w:szCs w:val="24"/>
        </w:rPr>
      </w:pPr>
      <w:r w:rsidRPr="0071205E">
        <w:rPr>
          <w:rFonts w:ascii="Garamond" w:hAnsi="Garamond"/>
          <w:sz w:val="24"/>
          <w:szCs w:val="24"/>
        </w:rPr>
        <w:t>(iv) The degree of recognition of the famous mark.</w:t>
      </w:r>
    </w:p>
    <w:p w14:paraId="1BFBF8F1" w14:textId="77777777" w:rsidR="0071205E" w:rsidRPr="0071205E" w:rsidRDefault="0071205E" w:rsidP="003E6FDD">
      <w:pPr>
        <w:widowControl/>
        <w:spacing w:after="120"/>
        <w:ind w:left="1728" w:right="720" w:hanging="720"/>
        <w:jc w:val="both"/>
        <w:rPr>
          <w:rFonts w:ascii="Garamond" w:hAnsi="Garamond"/>
          <w:sz w:val="24"/>
          <w:szCs w:val="24"/>
        </w:rPr>
      </w:pPr>
      <w:r w:rsidRPr="0071205E">
        <w:rPr>
          <w:rFonts w:ascii="Garamond" w:hAnsi="Garamond"/>
          <w:sz w:val="24"/>
          <w:szCs w:val="24"/>
        </w:rPr>
        <w:t>(v) Whether the user of the mark or trade name intended to create an association with the famous mark.</w:t>
      </w:r>
    </w:p>
    <w:p w14:paraId="2C89FC0F" w14:textId="77777777" w:rsidR="0071205E" w:rsidRPr="0071205E" w:rsidRDefault="0071205E" w:rsidP="003E6FDD">
      <w:pPr>
        <w:widowControl/>
        <w:spacing w:after="120"/>
        <w:ind w:left="1728" w:right="720" w:hanging="720"/>
        <w:jc w:val="both"/>
        <w:rPr>
          <w:rFonts w:ascii="Garamond" w:hAnsi="Garamond"/>
          <w:sz w:val="24"/>
          <w:szCs w:val="24"/>
        </w:rPr>
      </w:pPr>
      <w:r w:rsidRPr="0071205E">
        <w:rPr>
          <w:rFonts w:ascii="Garamond" w:hAnsi="Garamond"/>
          <w:sz w:val="24"/>
          <w:szCs w:val="24"/>
        </w:rPr>
        <w:t>(vi) Any actual association between the mark or trade name and the famous mark.</w:t>
      </w:r>
    </w:p>
    <w:p w14:paraId="5F6236B8" w14:textId="5F93D296" w:rsidR="0071205E" w:rsidRPr="0071205E" w:rsidRDefault="0071205E" w:rsidP="003E6FDD">
      <w:pPr>
        <w:widowControl/>
        <w:spacing w:after="120"/>
        <w:jc w:val="both"/>
        <w:rPr>
          <w:rFonts w:ascii="Garamond" w:hAnsi="Garamond"/>
          <w:sz w:val="24"/>
          <w:szCs w:val="24"/>
        </w:rPr>
      </w:pPr>
      <w:r w:rsidRPr="0071205E">
        <w:rPr>
          <w:rFonts w:ascii="Garamond" w:hAnsi="Garamond"/>
          <w:sz w:val="24"/>
          <w:szCs w:val="24"/>
        </w:rPr>
        <w:t>Id. In light of this change in the governing law, we vacated the judgment of the District Court and r</w:t>
      </w:r>
      <w:r w:rsidRPr="0071205E">
        <w:rPr>
          <w:rFonts w:ascii="Garamond" w:hAnsi="Garamond"/>
          <w:sz w:val="24"/>
          <w:szCs w:val="24"/>
        </w:rPr>
        <w:t>e</w:t>
      </w:r>
      <w:r w:rsidR="00B53179">
        <w:rPr>
          <w:rFonts w:ascii="Garamond" w:hAnsi="Garamond"/>
          <w:sz w:val="24"/>
          <w:szCs w:val="24"/>
        </w:rPr>
        <w:t>manded for further proceedings.</w:t>
      </w:r>
    </w:p>
    <w:p w14:paraId="55DA2129" w14:textId="4502BC9A"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On remand, after further briefing, the District Court again ruled in Black Bear's favor for su</w:t>
      </w:r>
      <w:r w:rsidRPr="0071205E">
        <w:rPr>
          <w:rFonts w:ascii="Garamond" w:hAnsi="Garamond"/>
          <w:sz w:val="24"/>
          <w:szCs w:val="24"/>
        </w:rPr>
        <w:t>b</w:t>
      </w:r>
      <w:r w:rsidRPr="0071205E">
        <w:rPr>
          <w:rFonts w:ascii="Garamond" w:hAnsi="Garamond"/>
          <w:sz w:val="24"/>
          <w:szCs w:val="24"/>
        </w:rPr>
        <w:t>stantially the same reasons set forth in its earlier opinion, but it also analyzed the federal dilution claim in light of the TDRA. ("Starbucks III"). In particular, the District Court considered the six non-exclusive factors listed in the statute and made the following findings: (1) the marks were minimally similar, which the court deemed alone sufficient to defeat Starbucks' claim; (2) (a) the distinctiveness of the Starbucks Marks, (b) the exclusivity of their use by Starbucks, and (c) their high degree of recogn</w:t>
      </w:r>
      <w:r w:rsidRPr="0071205E">
        <w:rPr>
          <w:rFonts w:ascii="Garamond" w:hAnsi="Garamond"/>
          <w:sz w:val="24"/>
          <w:szCs w:val="24"/>
        </w:rPr>
        <w:t>i</w:t>
      </w:r>
      <w:r w:rsidRPr="0071205E">
        <w:rPr>
          <w:rFonts w:ascii="Garamond" w:hAnsi="Garamond"/>
          <w:sz w:val="24"/>
          <w:szCs w:val="24"/>
        </w:rPr>
        <w:t>tion, all weighed in favor of Starbucks; (3) the intent factor weighed in Black Bear's favor because Black Bear's intent to create an association with the Starbucks Marks did not constitute bad faith; and (4) ev</w:t>
      </w:r>
      <w:r w:rsidRPr="0071205E">
        <w:rPr>
          <w:rFonts w:ascii="Garamond" w:hAnsi="Garamond"/>
          <w:sz w:val="24"/>
          <w:szCs w:val="24"/>
        </w:rPr>
        <w:t>i</w:t>
      </w:r>
      <w:r w:rsidRPr="0071205E">
        <w:rPr>
          <w:rFonts w:ascii="Garamond" w:hAnsi="Garamond"/>
          <w:sz w:val="24"/>
          <w:szCs w:val="24"/>
        </w:rPr>
        <w:t>dence from Mitofsky's survey was "insufficient to make the actual confusion factor weigh in [Sta</w:t>
      </w:r>
      <w:r w:rsidRPr="0071205E">
        <w:rPr>
          <w:rFonts w:ascii="Garamond" w:hAnsi="Garamond"/>
          <w:sz w:val="24"/>
          <w:szCs w:val="24"/>
        </w:rPr>
        <w:t>r</w:t>
      </w:r>
      <w:r w:rsidRPr="0071205E">
        <w:rPr>
          <w:rFonts w:ascii="Garamond" w:hAnsi="Garamond"/>
          <w:sz w:val="24"/>
          <w:szCs w:val="24"/>
        </w:rPr>
        <w:t xml:space="preserve">bucks'] favor to any significant degree." </w:t>
      </w:r>
      <w:r w:rsidR="003E6FDD">
        <w:rPr>
          <w:rFonts w:ascii="Garamond" w:hAnsi="Garamond"/>
          <w:sz w:val="24"/>
          <w:szCs w:val="24"/>
        </w:rPr>
        <w:t xml:space="preserve"> </w:t>
      </w:r>
      <w:r w:rsidRPr="0071205E">
        <w:rPr>
          <w:rFonts w:ascii="Garamond" w:hAnsi="Garamond"/>
          <w:sz w:val="24"/>
          <w:szCs w:val="24"/>
        </w:rPr>
        <w:t xml:space="preserve">Balancing all six factors, the District Court held that the record was "insufficient to demonstrate the requisite likelihood that the association arising from the similarity of the core terms is likely to impair the distinctiveness of Starbucks' mark, and Plaintiff is not entitled to injunctive relief under that statute." </w:t>
      </w:r>
    </w:p>
    <w:p w14:paraId="2C370673" w14:textId="731AB279"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Starbucks appealed again, arguing that the District Court erred in finding that the Charbucks Marks are not likely to dilute the Starbucks Marks. In Starbucks IV, we examined the District Court's findin</w:t>
      </w:r>
      <w:r w:rsidR="003E6FDD">
        <w:rPr>
          <w:rFonts w:ascii="Garamond" w:hAnsi="Garamond"/>
          <w:sz w:val="24"/>
          <w:szCs w:val="24"/>
        </w:rPr>
        <w:t xml:space="preserve">gs as to the first, fifth, and </w:t>
      </w:r>
      <w:r w:rsidRPr="0071205E">
        <w:rPr>
          <w:rFonts w:ascii="Garamond" w:hAnsi="Garamond"/>
          <w:sz w:val="24"/>
          <w:szCs w:val="24"/>
        </w:rPr>
        <w:t>sixth factors, as well as its balancing of the statutory factors that bear on the likelihood of dilution by blurring. We held that "the District Court did not clearly err in finding that the Charbucks Marks were minimally similar to the Starbucks Marks," because the context of the Charbucks Marks (on Black Bear's packaging, on its website, and in the phrases "Charbucks Blend" and "Mister Charbucks") differentiated them from the famous marks. We concluded, however, that "the District Court erred to the extent it required 'substantial' similarity between the marks," and we sugges</w:t>
      </w:r>
      <w:r w:rsidRPr="0071205E">
        <w:rPr>
          <w:rFonts w:ascii="Garamond" w:hAnsi="Garamond"/>
          <w:sz w:val="24"/>
          <w:szCs w:val="24"/>
        </w:rPr>
        <w:t>t</w:t>
      </w:r>
      <w:r w:rsidRPr="0071205E">
        <w:rPr>
          <w:rFonts w:ascii="Garamond" w:hAnsi="Garamond"/>
          <w:sz w:val="24"/>
          <w:szCs w:val="24"/>
        </w:rPr>
        <w:t>ed that the District Court had overemphasized the similarity factor. In particular, we stated that the i</w:t>
      </w:r>
      <w:r w:rsidRPr="0071205E">
        <w:rPr>
          <w:rFonts w:ascii="Garamond" w:hAnsi="Garamond"/>
          <w:sz w:val="24"/>
          <w:szCs w:val="24"/>
        </w:rPr>
        <w:t>n</w:t>
      </w:r>
      <w:r w:rsidRPr="0071205E">
        <w:rPr>
          <w:rFonts w:ascii="Garamond" w:hAnsi="Garamond"/>
          <w:sz w:val="24"/>
          <w:szCs w:val="24"/>
        </w:rPr>
        <w:t xml:space="preserve">clusion of "the degree of similarity" as only one of six factors in the revised statute indicates that even a low degree of similarity would not categorically bar a dilution-by-blurring claim. </w:t>
      </w:r>
    </w:p>
    <w:p w14:paraId="55FF3A79" w14:textId="1D9AD0B3"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 [*204]  Turning to the fifth and sixth factors--intent to associate and actual association--we held that the District Court had erred by requiring "bad faith" to find that the intent to associate factor favored Starbucks. Noting the survey results, which demonstrated some degree of association between "Charbucks" and "Starbucks," we also held that the District Court erred by relying on evidence su</w:t>
      </w:r>
      <w:r w:rsidRPr="0071205E">
        <w:rPr>
          <w:rFonts w:ascii="Garamond" w:hAnsi="Garamond"/>
          <w:sz w:val="24"/>
          <w:szCs w:val="24"/>
        </w:rPr>
        <w:t>p</w:t>
      </w:r>
      <w:r w:rsidRPr="0071205E">
        <w:rPr>
          <w:rFonts w:ascii="Garamond" w:hAnsi="Garamond"/>
          <w:sz w:val="24"/>
          <w:szCs w:val="24"/>
        </w:rPr>
        <w:t xml:space="preserve">porting the absence of "actual confusion" to conclude that the actual association factor did not weigh in Starbucks' favor "to any significant degree." The absence of actual or likely confusion, we reasoned, does not bear directly on whether dilution is likely. </w:t>
      </w:r>
    </w:p>
    <w:p w14:paraId="3B7325D9" w14:textId="11129DD0"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Emphasizing that the analysis of a dilution by blurring claim must ultimately focus on "whether an association, arising from the similarity between the subject marks, 'impairs the distinctiveness of the famous mark,'" we vacated the judgment of the District Court and remanded for reconsideration of the claim in light of our discussions of the first, fifth, and sixth statutory factors.</w:t>
      </w:r>
    </w:p>
    <w:p w14:paraId="4B7FD344" w14:textId="0032710B"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In its opinion and order f</w:t>
      </w:r>
      <w:r w:rsidR="00B43754">
        <w:rPr>
          <w:rFonts w:ascii="Garamond" w:hAnsi="Garamond"/>
          <w:sz w:val="24"/>
          <w:szCs w:val="24"/>
        </w:rPr>
        <w:t xml:space="preserve">ollowing that remand </w:t>
      </w:r>
      <w:r w:rsidRPr="0071205E">
        <w:rPr>
          <w:rFonts w:ascii="Garamond" w:hAnsi="Garamond"/>
          <w:sz w:val="24"/>
          <w:szCs w:val="24"/>
        </w:rPr>
        <w:t>("Starbucks V"), the District Court recognized that the second through fifth statutory factors favored Starbucks. But the court again found that the first factor (the similarity of the marks) favored Black Bear because the marks were only minimally sim</w:t>
      </w:r>
      <w:r w:rsidRPr="0071205E">
        <w:rPr>
          <w:rFonts w:ascii="Garamond" w:hAnsi="Garamond"/>
          <w:sz w:val="24"/>
          <w:szCs w:val="24"/>
        </w:rPr>
        <w:t>i</w:t>
      </w:r>
      <w:r w:rsidRPr="0071205E">
        <w:rPr>
          <w:rFonts w:ascii="Garamond" w:hAnsi="Garamond"/>
          <w:sz w:val="24"/>
          <w:szCs w:val="24"/>
        </w:rPr>
        <w:t>lar when presented in commerce--that is, when the Charbucks Marks are viewed on the packaging, which includes the phrases "Charbucks Blend" or "Mister Char</w:t>
      </w:r>
      <w:r w:rsidR="00B43754">
        <w:rPr>
          <w:rFonts w:ascii="Garamond" w:hAnsi="Garamond"/>
          <w:sz w:val="24"/>
          <w:szCs w:val="24"/>
        </w:rPr>
        <w:t>bucks."</w:t>
      </w:r>
    </w:p>
    <w:p w14:paraId="02FDB3B3" w14:textId="56739EED"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As for the sixth factor (actual association), the District Court acknowledged that the results of the Mitofsky survey "constitute e</w:t>
      </w:r>
      <w:r w:rsidR="00B43754">
        <w:rPr>
          <w:rFonts w:ascii="Garamond" w:hAnsi="Garamond"/>
          <w:sz w:val="24"/>
          <w:szCs w:val="24"/>
        </w:rPr>
        <w:t xml:space="preserve">vidence of actual association," </w:t>
      </w:r>
      <w:r w:rsidRPr="0071205E">
        <w:rPr>
          <w:rFonts w:ascii="Garamond" w:hAnsi="Garamond"/>
          <w:sz w:val="24"/>
          <w:szCs w:val="24"/>
        </w:rPr>
        <w:t>but it then significantly discounted those results on the ground that the survey inquired into associations only with the isolated word "Charbucks" and failed to present the Charbucks Marks in full con</w:t>
      </w:r>
      <w:r w:rsidR="00B43754">
        <w:rPr>
          <w:rFonts w:ascii="Garamond" w:hAnsi="Garamond"/>
          <w:sz w:val="24"/>
          <w:szCs w:val="24"/>
        </w:rPr>
        <w:t>text</w:t>
      </w:r>
      <w:r w:rsidRPr="0071205E">
        <w:rPr>
          <w:rFonts w:ascii="Garamond" w:hAnsi="Garamond"/>
          <w:sz w:val="24"/>
          <w:szCs w:val="24"/>
        </w:rPr>
        <w:t>. The court also compared the survey results in this case with those in other cases. Here, it noted, only 30.5 percent of respondents associated "Charbucks" with "Starbucks," while in other t</w:t>
      </w:r>
      <w:r w:rsidR="00B43754">
        <w:rPr>
          <w:rFonts w:ascii="Garamond" w:hAnsi="Garamond"/>
          <w:sz w:val="24"/>
          <w:szCs w:val="24"/>
        </w:rPr>
        <w:t xml:space="preserve">rade dilution cases 70 percent </w:t>
      </w:r>
      <w:r w:rsidRPr="0071205E">
        <w:rPr>
          <w:rFonts w:ascii="Garamond" w:hAnsi="Garamond"/>
          <w:sz w:val="24"/>
          <w:szCs w:val="24"/>
        </w:rPr>
        <w:t>to 90 percent of survey respondents associated the relevant marks. The District Court also compared the 3.1 percent of respondents who thought a product called "Charbucks" would be made by Starbucks to the 28 percent of respondents who made a similar origin association in a Ninth Circuit trademark dilution case (citing Jada Toys, Inc. v. Mattel, Inc., 518 F.3d 628, 636 (9th Cir. 2008)). With the benefit of these compar</w:t>
      </w:r>
      <w:r w:rsidRPr="0071205E">
        <w:rPr>
          <w:rFonts w:ascii="Garamond" w:hAnsi="Garamond"/>
          <w:sz w:val="24"/>
          <w:szCs w:val="24"/>
        </w:rPr>
        <w:t>i</w:t>
      </w:r>
      <w:r w:rsidRPr="0071205E">
        <w:rPr>
          <w:rFonts w:ascii="Garamond" w:hAnsi="Garamond"/>
          <w:sz w:val="24"/>
          <w:szCs w:val="24"/>
        </w:rPr>
        <w:t>sons, the District Court found that the actual association factor weighs "no more than minimal</w:t>
      </w:r>
      <w:r w:rsidR="00B43754">
        <w:rPr>
          <w:rFonts w:ascii="Garamond" w:hAnsi="Garamond"/>
          <w:sz w:val="24"/>
          <w:szCs w:val="24"/>
        </w:rPr>
        <w:t>ly" in Starbucks' favor.</w:t>
      </w:r>
    </w:p>
    <w:p w14:paraId="59E386E8" w14:textId="3F06101A"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In evaluating the likelihood of dilution, the District Court emphasized the "association" and "similarity" factors. Citing the TDRA's definition of dilution by blurring as "association arising from the similarity between a mark or trade name and a famous mark that impairs the distinctiveness of the f</w:t>
      </w:r>
      <w:r w:rsidRPr="0071205E">
        <w:rPr>
          <w:rFonts w:ascii="Garamond" w:hAnsi="Garamond"/>
          <w:sz w:val="24"/>
          <w:szCs w:val="24"/>
        </w:rPr>
        <w:t>a</w:t>
      </w:r>
      <w:r w:rsidRPr="0071205E">
        <w:rPr>
          <w:rFonts w:ascii="Garamond" w:hAnsi="Garamond"/>
          <w:sz w:val="24"/>
          <w:szCs w:val="24"/>
        </w:rPr>
        <w:t>mous mark," the District Court explained that "[t]he statutory language leaves no</w:t>
      </w:r>
      <w:r w:rsidR="00B43754">
        <w:rPr>
          <w:rFonts w:ascii="Garamond" w:hAnsi="Garamond"/>
          <w:sz w:val="24"/>
          <w:szCs w:val="24"/>
        </w:rPr>
        <w:t xml:space="preserve"> doubt" that these two  [*205] </w:t>
      </w:r>
      <w:r w:rsidRPr="0071205E">
        <w:rPr>
          <w:rFonts w:ascii="Garamond" w:hAnsi="Garamond"/>
          <w:sz w:val="24"/>
          <w:szCs w:val="24"/>
        </w:rPr>
        <w:t>factors are "obviously important." After balancing all six factors, the District Court held that Starbucks had failed to meet its burden of showing that it wa</w:t>
      </w:r>
      <w:r w:rsidR="00B43754">
        <w:rPr>
          <w:rFonts w:ascii="Garamond" w:hAnsi="Garamond"/>
          <w:sz w:val="24"/>
          <w:szCs w:val="24"/>
        </w:rPr>
        <w:t>s entitled to injunctive relief….</w:t>
      </w:r>
    </w:p>
    <w:p w14:paraId="49CFA246"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On appeal, Starbucks challenges both the factual findings of minimal similarity and weak ass</w:t>
      </w:r>
      <w:r w:rsidRPr="0071205E">
        <w:rPr>
          <w:rFonts w:ascii="Garamond" w:hAnsi="Garamond"/>
          <w:sz w:val="24"/>
          <w:szCs w:val="24"/>
        </w:rPr>
        <w:t>o</w:t>
      </w:r>
      <w:r w:rsidRPr="0071205E">
        <w:rPr>
          <w:rFonts w:ascii="Garamond" w:hAnsi="Garamond"/>
          <w:sz w:val="24"/>
          <w:szCs w:val="24"/>
        </w:rPr>
        <w:t>ciation and the conclusion that it failed to demonstrate a likelihood of dilution.</w:t>
      </w:r>
    </w:p>
    <w:p w14:paraId="6EA2B228" w14:textId="77777777" w:rsidR="00271898" w:rsidRDefault="00271898" w:rsidP="00B43754">
      <w:pPr>
        <w:widowControl/>
        <w:spacing w:after="120"/>
        <w:jc w:val="center"/>
        <w:outlineLvl w:val="0"/>
        <w:rPr>
          <w:rFonts w:ascii="Garamond" w:hAnsi="Garamond"/>
          <w:b/>
          <w:bCs/>
          <w:sz w:val="24"/>
          <w:szCs w:val="24"/>
        </w:rPr>
      </w:pPr>
    </w:p>
    <w:p w14:paraId="06F0AC2C" w14:textId="0C77DFA3" w:rsidR="0071205E" w:rsidRPr="0071205E" w:rsidRDefault="00271898" w:rsidP="00B43754">
      <w:pPr>
        <w:widowControl/>
        <w:spacing w:after="120"/>
        <w:jc w:val="center"/>
        <w:outlineLvl w:val="0"/>
        <w:rPr>
          <w:rFonts w:ascii="Garamond" w:hAnsi="Garamond"/>
          <w:sz w:val="24"/>
          <w:szCs w:val="24"/>
        </w:rPr>
      </w:pPr>
      <w:r>
        <w:rPr>
          <w:rFonts w:ascii="Garamond" w:hAnsi="Garamond"/>
          <w:b/>
          <w:bCs/>
          <w:sz w:val="24"/>
          <w:szCs w:val="24"/>
        </w:rPr>
        <w:t>Discussion</w:t>
      </w:r>
    </w:p>
    <w:p w14:paraId="446F48F4" w14:textId="77777777" w:rsidR="0071205E" w:rsidRPr="0071205E" w:rsidRDefault="0071205E" w:rsidP="00B43754">
      <w:pPr>
        <w:widowControl/>
        <w:spacing w:after="120"/>
        <w:jc w:val="center"/>
        <w:outlineLvl w:val="0"/>
        <w:rPr>
          <w:rFonts w:ascii="Garamond" w:hAnsi="Garamond"/>
          <w:sz w:val="24"/>
          <w:szCs w:val="24"/>
        </w:rPr>
      </w:pPr>
      <w:r w:rsidRPr="0071205E">
        <w:rPr>
          <w:rFonts w:ascii="Garamond" w:hAnsi="Garamond"/>
          <w:sz w:val="24"/>
          <w:szCs w:val="24"/>
        </w:rPr>
        <w:t xml:space="preserve">A. History of Federal Trademark Dilution Law </w:t>
      </w:r>
    </w:p>
    <w:p w14:paraId="7C4E8C55" w14:textId="7C86B433"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"Federal law allows the owner of a 'famous mark' to enjoin a person from using 'a mark or trade name in commerce that is likely to cause dilution by blurring or dilution by tarnishment of the famous mark.'" Tiffany (NJ) Inc. v. eBay Inc., 600 F.3d 93, 110-11 (2d Cir. 2010) (quoting 15 U.S.C. ß 1125(c)(1)). Dilution by blurring is "the whittling away of the established trademark's selling power and value through i</w:t>
      </w:r>
      <w:r w:rsidR="0069681E">
        <w:rPr>
          <w:rFonts w:ascii="Garamond" w:hAnsi="Garamond"/>
          <w:sz w:val="24"/>
          <w:szCs w:val="24"/>
        </w:rPr>
        <w:t>ts unauthorized use by others."</w:t>
      </w:r>
    </w:p>
    <w:p w14:paraId="6C6A94F5" w14:textId="7E8EC8F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Dilution by blurring as a cause of action was championed initially by Frank Schechter in a 1927  law journal article. See Frank I. Schechter, The Rational Basis of Trademark Protection, 40 Harv. L. Rev. 813 (1927). Schechter argued that a mark both symbolizes existing good will and can generate good will. ("The mark actually sells the goods. And, self-evidently, the more distinctive the mark, the more effective is its selling power."). So-called "[t]rademark pirates," Schechter explained, stopped short of infringing marks in favor of using marks similar to well-known marks on non-competing goods, such as Kodak bicycles, Rolls-Royce radio tubes, and Beech-Nut cigarettes. Schechter described the injury in these cases as</w:t>
      </w:r>
    </w:p>
    <w:p w14:paraId="17157F74" w14:textId="46C097ED" w:rsidR="0071205E" w:rsidRPr="0071205E" w:rsidRDefault="0071205E" w:rsidP="0069681E">
      <w:pPr>
        <w:widowControl/>
        <w:spacing w:after="120"/>
        <w:ind w:left="720" w:right="720"/>
        <w:jc w:val="both"/>
        <w:rPr>
          <w:rFonts w:ascii="Garamond" w:hAnsi="Garamond"/>
          <w:sz w:val="24"/>
          <w:szCs w:val="24"/>
        </w:rPr>
      </w:pPr>
      <w:r w:rsidRPr="0071205E">
        <w:rPr>
          <w:rFonts w:ascii="Garamond" w:hAnsi="Garamond"/>
          <w:sz w:val="24"/>
          <w:szCs w:val="24"/>
        </w:rPr>
        <w:t>the gradual whittling away or dispersion of the identity and hold upon the public mind of the mark or name by its use upon non-competing goods. The more distinctive or unique the mark, the deeper is its impress upon the public consciousness, and the grea</w:t>
      </w:r>
      <w:r w:rsidRPr="0071205E">
        <w:rPr>
          <w:rFonts w:ascii="Garamond" w:hAnsi="Garamond"/>
          <w:sz w:val="24"/>
          <w:szCs w:val="24"/>
        </w:rPr>
        <w:t>t</w:t>
      </w:r>
      <w:r w:rsidRPr="0071205E">
        <w:rPr>
          <w:rFonts w:ascii="Garamond" w:hAnsi="Garamond"/>
          <w:sz w:val="24"/>
          <w:szCs w:val="24"/>
        </w:rPr>
        <w:t>er its need for protection against vitiation or dissociation from the particular product in connection with which it has been used.</w:t>
      </w:r>
    </w:p>
    <w:p w14:paraId="5B1109CB" w14:textId="4A365AE5"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Somewhat more vividly in later congressional testimony, Schechter warned that "if you allow Rolls Royce restaurants and Rolls Roy</w:t>
      </w:r>
      <w:r w:rsidR="0069681E">
        <w:rPr>
          <w:rFonts w:ascii="Garamond" w:hAnsi="Garamond"/>
          <w:sz w:val="24"/>
          <w:szCs w:val="24"/>
        </w:rPr>
        <w:t xml:space="preserve">ce cafeterias, and Rolls Royce </w:t>
      </w:r>
      <w:r w:rsidRPr="0071205E">
        <w:rPr>
          <w:rFonts w:ascii="Garamond" w:hAnsi="Garamond"/>
          <w:sz w:val="24"/>
          <w:szCs w:val="24"/>
        </w:rPr>
        <w:t xml:space="preserve">pants, and Rolls Royce candy, in 10 years you will not have the Rolls Royce mark any more." </w:t>
      </w:r>
    </w:p>
    <w:p w14:paraId="37B19A2C" w14:textId="0125F2F3"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Heeding Schechter's warning, some States passed antidilution statutes. </w:t>
      </w:r>
      <w:r w:rsidR="0069681E">
        <w:rPr>
          <w:rFonts w:ascii="Garamond" w:hAnsi="Garamond"/>
          <w:sz w:val="24"/>
          <w:szCs w:val="24"/>
        </w:rPr>
        <w:t xml:space="preserve"> </w:t>
      </w:r>
      <w:r w:rsidRPr="0071205E">
        <w:rPr>
          <w:rFonts w:ascii="Garamond" w:hAnsi="Garamond"/>
          <w:sz w:val="24"/>
          <w:szCs w:val="24"/>
        </w:rPr>
        <w:t>For example, the legisl</w:t>
      </w:r>
      <w:r w:rsidRPr="0071205E">
        <w:rPr>
          <w:rFonts w:ascii="Garamond" w:hAnsi="Garamond"/>
          <w:sz w:val="24"/>
          <w:szCs w:val="24"/>
        </w:rPr>
        <w:t>a</w:t>
      </w:r>
      <w:r w:rsidRPr="0071205E">
        <w:rPr>
          <w:rFonts w:ascii="Garamond" w:hAnsi="Garamond"/>
          <w:sz w:val="24"/>
          <w:szCs w:val="24"/>
        </w:rPr>
        <w:t>tive history of New York's antidilution statute "disclosed a need for legislation to prevent such 'hyp</w:t>
      </w:r>
      <w:r w:rsidRPr="0071205E">
        <w:rPr>
          <w:rFonts w:ascii="Garamond" w:hAnsi="Garamond"/>
          <w:sz w:val="24"/>
          <w:szCs w:val="24"/>
        </w:rPr>
        <w:t>o</w:t>
      </w:r>
      <w:r w:rsidRPr="0071205E">
        <w:rPr>
          <w:rFonts w:ascii="Garamond" w:hAnsi="Garamond"/>
          <w:sz w:val="24"/>
          <w:szCs w:val="24"/>
        </w:rPr>
        <w:t xml:space="preserve">thetical anomalies' as 'Dupont shoes, </w:t>
      </w:r>
      <w:r w:rsidR="0069681E">
        <w:rPr>
          <w:rFonts w:ascii="Garamond" w:hAnsi="Garamond"/>
          <w:sz w:val="24"/>
          <w:szCs w:val="24"/>
        </w:rPr>
        <w:t xml:space="preserve">Buick aspirin tablets,  [*206] </w:t>
      </w:r>
      <w:r w:rsidRPr="0071205E">
        <w:rPr>
          <w:rFonts w:ascii="Garamond" w:hAnsi="Garamond"/>
          <w:sz w:val="24"/>
          <w:szCs w:val="24"/>
        </w:rPr>
        <w:t>Schlitz varnish, Kodak pianos, Bul</w:t>
      </w:r>
      <w:r w:rsidRPr="0071205E">
        <w:rPr>
          <w:rFonts w:ascii="Garamond" w:hAnsi="Garamond"/>
          <w:sz w:val="24"/>
          <w:szCs w:val="24"/>
        </w:rPr>
        <w:t>o</w:t>
      </w:r>
      <w:r w:rsidRPr="0071205E">
        <w:rPr>
          <w:rFonts w:ascii="Garamond" w:hAnsi="Garamond"/>
          <w:sz w:val="24"/>
          <w:szCs w:val="24"/>
        </w:rPr>
        <w:t>va gowns, and so forth.'" But the predictable result of these desultory efforts by various States to pass antidilution laws was an uneven regulatory patchwork of protection. Congress first addressed that pro</w:t>
      </w:r>
      <w:r w:rsidRPr="0071205E">
        <w:rPr>
          <w:rFonts w:ascii="Garamond" w:hAnsi="Garamond"/>
          <w:sz w:val="24"/>
          <w:szCs w:val="24"/>
        </w:rPr>
        <w:t>b</w:t>
      </w:r>
      <w:r w:rsidRPr="0071205E">
        <w:rPr>
          <w:rFonts w:ascii="Garamond" w:hAnsi="Garamond"/>
          <w:sz w:val="24"/>
          <w:szCs w:val="24"/>
        </w:rPr>
        <w:t>lem in 1996, when it enacted the FTDA, which entitled any owner of a famous mark "to an injunction against another person's commercial use in commerce of a mark or trade name, if such use begins after the mark has become famous and causes dilution of the distinctive quality of the mark . . . ." 15 U.S.C. ß 1125(c)(1) (1996).</w:t>
      </w:r>
      <w:r w:rsidR="0069681E">
        <w:rPr>
          <w:rStyle w:val="FootnoteReference"/>
          <w:rFonts w:ascii="Garamond" w:hAnsi="Garamond"/>
          <w:sz w:val="24"/>
          <w:szCs w:val="24"/>
        </w:rPr>
        <w:footnoteReference w:id="6"/>
      </w:r>
    </w:p>
    <w:p w14:paraId="108D4AB5" w14:textId="3181548D"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In 2003, however, the Supreme Court decided Moseley v. V Secret Catalogue, Inc., 537 U.S. 418 (2003), which held that the FTDA required a plaintiff to prove "actual dilution," not simply a "lik</w:t>
      </w:r>
      <w:r w:rsidRPr="0071205E">
        <w:rPr>
          <w:rFonts w:ascii="Garamond" w:hAnsi="Garamond"/>
          <w:sz w:val="24"/>
          <w:szCs w:val="24"/>
        </w:rPr>
        <w:t>e</w:t>
      </w:r>
      <w:r w:rsidRPr="0071205E">
        <w:rPr>
          <w:rFonts w:ascii="Garamond" w:hAnsi="Garamond"/>
          <w:sz w:val="24"/>
          <w:szCs w:val="24"/>
        </w:rPr>
        <w:t xml:space="preserve">lihood of dilution," in order to </w:t>
      </w:r>
      <w:r w:rsidR="0069681E">
        <w:rPr>
          <w:rFonts w:ascii="Garamond" w:hAnsi="Garamond"/>
          <w:sz w:val="24"/>
          <w:szCs w:val="24"/>
        </w:rPr>
        <w:t xml:space="preserve">establish a trademark dilution </w:t>
      </w:r>
      <w:r w:rsidRPr="0071205E">
        <w:rPr>
          <w:rFonts w:ascii="Garamond" w:hAnsi="Garamond"/>
          <w:sz w:val="24"/>
          <w:szCs w:val="24"/>
        </w:rPr>
        <w:t xml:space="preserve">claim. In response, the International Trademark Association ("INTA"), a primary advocate for the FTDA, supported a congressional amendment to abrogate Moseley. The proposed amendment, which eventually became the TDRA, provided that plaintiffs need prove only a likelihood of dilution and, thus, allowed famous mark owners to "prevent dilution at its incipiency" and not force them to "wait until the harm has advanced so far that . . . the recognition of the mark . . . is permanently impaired" in order to sue. At congressional hearings in 2004 and 2005, witnesses criticized the Moseley decision as "essentially sa[ying] you have got to wait until the horse is gone, and then the only thing you can do is close the barn door." </w:t>
      </w:r>
    </w:p>
    <w:p w14:paraId="1777C9EA" w14:textId="0C076D1B"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Although a number of witnesses testified at the hearings, the hearing statements of Anne Gu</w:t>
      </w:r>
      <w:r w:rsidRPr="0071205E">
        <w:rPr>
          <w:rFonts w:ascii="Garamond" w:hAnsi="Garamond"/>
          <w:sz w:val="24"/>
          <w:szCs w:val="24"/>
        </w:rPr>
        <w:t>n</w:t>
      </w:r>
      <w:r w:rsidRPr="0071205E">
        <w:rPr>
          <w:rFonts w:ascii="Garamond" w:hAnsi="Garamond"/>
          <w:sz w:val="24"/>
          <w:szCs w:val="24"/>
        </w:rPr>
        <w:t xml:space="preserve">delfinger, then-President of the INTA, are considered a primary source of the legislative history of the TDRA. </w:t>
      </w:r>
      <w:r w:rsidR="0069681E">
        <w:rPr>
          <w:rFonts w:ascii="Garamond" w:hAnsi="Garamond"/>
          <w:sz w:val="24"/>
          <w:szCs w:val="24"/>
        </w:rPr>
        <w:t xml:space="preserve"> </w:t>
      </w:r>
      <w:r w:rsidRPr="0071205E">
        <w:rPr>
          <w:rFonts w:ascii="Garamond" w:hAnsi="Garamond"/>
          <w:sz w:val="24"/>
          <w:szCs w:val="24"/>
        </w:rPr>
        <w:t>During her testimony, Gundelfinger explained that the association between marks needed only to be "likely to impair the distinctiveness of the famous mark in the marketplace." Gundelfinger also proposed a list of six factors that would "go to the question of whether the famous mark's distinctiv</w:t>
      </w:r>
      <w:r w:rsidRPr="0071205E">
        <w:rPr>
          <w:rFonts w:ascii="Garamond" w:hAnsi="Garamond"/>
          <w:sz w:val="24"/>
          <w:szCs w:val="24"/>
        </w:rPr>
        <w:t>e</w:t>
      </w:r>
      <w:r w:rsidRPr="0071205E">
        <w:rPr>
          <w:rFonts w:ascii="Garamond" w:hAnsi="Garamond"/>
          <w:sz w:val="24"/>
          <w:szCs w:val="24"/>
        </w:rPr>
        <w:t xml:space="preserve">ness in the marketplace will be blurred by the junior use." </w:t>
      </w:r>
      <w:r w:rsidR="0069681E">
        <w:rPr>
          <w:rFonts w:ascii="Garamond" w:hAnsi="Garamond"/>
          <w:sz w:val="24"/>
          <w:szCs w:val="24"/>
        </w:rPr>
        <w:t xml:space="preserve">She  [*207] </w:t>
      </w:r>
      <w:r w:rsidRPr="0071205E">
        <w:rPr>
          <w:rFonts w:ascii="Garamond" w:hAnsi="Garamond"/>
          <w:sz w:val="24"/>
          <w:szCs w:val="24"/>
        </w:rPr>
        <w:t xml:space="preserve">explained that courts will "need to balance all of these factors, as well as any others relevant to the question of blurring, in order to make a determination as to whether there is a likelihood of dilution by blurring." </w:t>
      </w:r>
    </w:p>
    <w:p w14:paraId="6989C669"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President Bush signed the TDRA into law in 2006.</w:t>
      </w:r>
    </w:p>
    <w:p w14:paraId="030155B8" w14:textId="77777777" w:rsidR="0071205E" w:rsidRPr="0071205E" w:rsidRDefault="0071205E" w:rsidP="0069681E">
      <w:pPr>
        <w:widowControl/>
        <w:spacing w:after="120"/>
        <w:jc w:val="center"/>
        <w:rPr>
          <w:rFonts w:ascii="Garamond" w:hAnsi="Garamond"/>
          <w:sz w:val="24"/>
          <w:szCs w:val="24"/>
        </w:rPr>
      </w:pPr>
      <w:r w:rsidRPr="0071205E">
        <w:rPr>
          <w:rFonts w:ascii="Garamond" w:hAnsi="Garamond"/>
          <w:sz w:val="24"/>
          <w:szCs w:val="24"/>
        </w:rPr>
        <w:t xml:space="preserve">B. Standard of Review </w:t>
      </w:r>
    </w:p>
    <w:p w14:paraId="17C9ECA5" w14:textId="4FF3E35C" w:rsidR="0071205E" w:rsidRPr="0071205E" w:rsidRDefault="0071205E" w:rsidP="00D52730">
      <w:pPr>
        <w:widowControl/>
        <w:spacing w:after="120"/>
        <w:ind w:firstLine="720"/>
        <w:jc w:val="both"/>
        <w:rPr>
          <w:rFonts w:ascii="Garamond" w:hAnsi="Garamond"/>
          <w:sz w:val="24"/>
          <w:szCs w:val="24"/>
        </w:rPr>
      </w:pPr>
      <w:r w:rsidRPr="0071205E">
        <w:rPr>
          <w:rFonts w:ascii="Garamond" w:hAnsi="Garamond"/>
          <w:sz w:val="24"/>
          <w:szCs w:val="24"/>
        </w:rPr>
        <w:t>After a bench trial on a claim for tradema</w:t>
      </w:r>
      <w:r w:rsidR="00D52730">
        <w:rPr>
          <w:rFonts w:ascii="Garamond" w:hAnsi="Garamond"/>
          <w:sz w:val="24"/>
          <w:szCs w:val="24"/>
        </w:rPr>
        <w:t xml:space="preserve">rk dilution by blurring, where </w:t>
      </w:r>
      <w:r w:rsidRPr="0071205E">
        <w:rPr>
          <w:rFonts w:ascii="Garamond" w:hAnsi="Garamond"/>
          <w:sz w:val="24"/>
          <w:szCs w:val="24"/>
        </w:rPr>
        <w:t>the district court eval</w:t>
      </w:r>
      <w:r w:rsidRPr="0071205E">
        <w:rPr>
          <w:rFonts w:ascii="Garamond" w:hAnsi="Garamond"/>
          <w:sz w:val="24"/>
          <w:szCs w:val="24"/>
        </w:rPr>
        <w:t>u</w:t>
      </w:r>
      <w:r w:rsidRPr="0071205E">
        <w:rPr>
          <w:rFonts w:ascii="Garamond" w:hAnsi="Garamond"/>
          <w:sz w:val="24"/>
          <w:szCs w:val="24"/>
        </w:rPr>
        <w:t>ates and balances the factors listed in the TDRA, we review the court's determinations as to each factor for clear error and its balancing of those factors de novo.</w:t>
      </w:r>
      <w:r w:rsidR="00D52730">
        <w:rPr>
          <w:rStyle w:val="FootnoteReference"/>
          <w:rFonts w:ascii="Garamond" w:hAnsi="Garamond"/>
          <w:sz w:val="24"/>
          <w:szCs w:val="24"/>
        </w:rPr>
        <w:footnoteReference w:id="7"/>
      </w:r>
      <w:r w:rsidRPr="0071205E">
        <w:rPr>
          <w:rFonts w:ascii="Garamond" w:hAnsi="Garamond"/>
          <w:sz w:val="24"/>
          <w:szCs w:val="24"/>
        </w:rPr>
        <w:t xml:space="preserve"> Accordingly, the District Court's factual fin</w:t>
      </w:r>
      <w:r w:rsidRPr="0071205E">
        <w:rPr>
          <w:rFonts w:ascii="Garamond" w:hAnsi="Garamond"/>
          <w:sz w:val="24"/>
          <w:szCs w:val="24"/>
        </w:rPr>
        <w:t>d</w:t>
      </w:r>
      <w:r w:rsidRPr="0071205E">
        <w:rPr>
          <w:rFonts w:ascii="Garamond" w:hAnsi="Garamond"/>
          <w:sz w:val="24"/>
          <w:szCs w:val="24"/>
        </w:rPr>
        <w:t>ings regarding each factor bearing on the likelihood of trademark dilution by blurring will not be di</w:t>
      </w:r>
      <w:r w:rsidRPr="0071205E">
        <w:rPr>
          <w:rFonts w:ascii="Garamond" w:hAnsi="Garamond"/>
          <w:sz w:val="24"/>
          <w:szCs w:val="24"/>
        </w:rPr>
        <w:t>s</w:t>
      </w:r>
      <w:r w:rsidRPr="0071205E">
        <w:rPr>
          <w:rFonts w:ascii="Garamond" w:hAnsi="Garamond"/>
          <w:sz w:val="24"/>
          <w:szCs w:val="24"/>
        </w:rPr>
        <w:t xml:space="preserve">turbed unless "on the entire evidence [we are] left with the definite and firm conviction that a mistake has been committed," while the balancing of those factors to determine the likelihood of dilution is a legal exercise subject to de novo review. To determine how to conduct the balancing, we look first to the language of the statute. </w:t>
      </w:r>
    </w:p>
    <w:p w14:paraId="38882752"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Under ß 1125(c)(1), the plaintiff must show the defendant's "use of a mark . . . in commerce that is likely to cause dilution by blurring . . . of the famous mark, regardless of the presence or absence of actual or likely confusion, of competition, or of actual economic injury." Section 1125(c)(2)(B) d</w:t>
      </w:r>
      <w:r w:rsidRPr="0071205E">
        <w:rPr>
          <w:rFonts w:ascii="Garamond" w:hAnsi="Garamond"/>
          <w:sz w:val="24"/>
          <w:szCs w:val="24"/>
        </w:rPr>
        <w:t>e</w:t>
      </w:r>
      <w:r w:rsidRPr="0071205E">
        <w:rPr>
          <w:rFonts w:ascii="Garamond" w:hAnsi="Garamond"/>
          <w:sz w:val="24"/>
          <w:szCs w:val="24"/>
        </w:rPr>
        <w:t>fines "dilution by blurring" as "association arising from the similarity between a mark . . . and a famous mark that impairs the distinctiveness of the famous mark." The statute then instructs that, "[i]n dete</w:t>
      </w:r>
      <w:r w:rsidRPr="0071205E">
        <w:rPr>
          <w:rFonts w:ascii="Garamond" w:hAnsi="Garamond"/>
          <w:sz w:val="24"/>
          <w:szCs w:val="24"/>
        </w:rPr>
        <w:t>r</w:t>
      </w:r>
      <w:r w:rsidRPr="0071205E">
        <w:rPr>
          <w:rFonts w:ascii="Garamond" w:hAnsi="Garamond"/>
          <w:sz w:val="24"/>
          <w:szCs w:val="24"/>
        </w:rPr>
        <w:t>mining whether a mark . . . is likely to cause dilution by blurring," the court "may consider all relevant factors," including the six enumerated factors.</w:t>
      </w:r>
    </w:p>
    <w:p w14:paraId="5A59432A" w14:textId="1BB0F62F"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We previously have declined to treat the factors pertinent to a trademark dilution analysis as an inflexible, mechanical test, suggesting instead that the importance of each factor will vary with the facts. Nabisco, Inc. v. PF Brands, Inc., 191 F.3d 208, 227-28 (2d Cir. 1999), abrogated on other grounds by Moseley, 537 U.S. at 433. Accordingly, we need not consider all six statutory factors listed in 15 U.S.C. ß 1125(c)(2)(B)(i)-(vi) if some are irrelevant to the ultimate question; nor are we limited to those six fa</w:t>
      </w:r>
      <w:r w:rsidRPr="0071205E">
        <w:rPr>
          <w:rFonts w:ascii="Garamond" w:hAnsi="Garamond"/>
          <w:sz w:val="24"/>
          <w:szCs w:val="24"/>
        </w:rPr>
        <w:t>c</w:t>
      </w:r>
      <w:r w:rsidRPr="0071205E">
        <w:rPr>
          <w:rFonts w:ascii="Garamond" w:hAnsi="Garamond"/>
          <w:sz w:val="24"/>
          <w:szCs w:val="24"/>
        </w:rPr>
        <w:t>tors. Instead, we employ a "cautious and gradual approach," which favors the development of a none</w:t>
      </w:r>
      <w:r w:rsidRPr="0071205E">
        <w:rPr>
          <w:rFonts w:ascii="Garamond" w:hAnsi="Garamond"/>
          <w:sz w:val="24"/>
          <w:szCs w:val="24"/>
        </w:rPr>
        <w:t>x</w:t>
      </w:r>
      <w:r w:rsidRPr="0071205E">
        <w:rPr>
          <w:rFonts w:ascii="Garamond" w:hAnsi="Garamond"/>
          <w:sz w:val="24"/>
          <w:szCs w:val="24"/>
        </w:rPr>
        <w:t xml:space="preserve">clusive list of trademark dilution factors over time. </w:t>
      </w:r>
    </w:p>
    <w:p w14:paraId="1C09DD04" w14:textId="77777777" w:rsidR="0071205E" w:rsidRPr="0071205E" w:rsidRDefault="0071205E" w:rsidP="00531CDC">
      <w:pPr>
        <w:widowControl/>
        <w:spacing w:after="120"/>
        <w:jc w:val="center"/>
        <w:rPr>
          <w:rFonts w:ascii="Garamond" w:hAnsi="Garamond"/>
          <w:sz w:val="24"/>
          <w:szCs w:val="24"/>
        </w:rPr>
      </w:pPr>
      <w:r w:rsidRPr="0071205E">
        <w:rPr>
          <w:rFonts w:ascii="Garamond" w:hAnsi="Garamond"/>
          <w:sz w:val="24"/>
          <w:szCs w:val="24"/>
        </w:rPr>
        <w:t xml:space="preserve">C. Factual Findings: The Statutory Factors </w:t>
      </w:r>
    </w:p>
    <w:p w14:paraId="41709DB9" w14:textId="6102E4C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On appeal, Starbucks challenges two of the Distr</w:t>
      </w:r>
      <w:r w:rsidR="00531CDC">
        <w:rPr>
          <w:rFonts w:ascii="Garamond" w:hAnsi="Garamond"/>
          <w:sz w:val="24"/>
          <w:szCs w:val="24"/>
        </w:rPr>
        <w:t xml:space="preserve">ict Court's findings: (1) that [*208] </w:t>
      </w:r>
      <w:r w:rsidRPr="0071205E">
        <w:rPr>
          <w:rFonts w:ascii="Garamond" w:hAnsi="Garamond"/>
          <w:sz w:val="24"/>
          <w:szCs w:val="24"/>
        </w:rPr>
        <w:t>there is only a minimal degree of similarity between the Starbucks Marks and the Charbucks Marks; and (2) that Starbucks demonstrated only a weak association b</w:t>
      </w:r>
      <w:r w:rsidR="00531CDC">
        <w:rPr>
          <w:rFonts w:ascii="Garamond" w:hAnsi="Garamond"/>
          <w:sz w:val="24"/>
          <w:szCs w:val="24"/>
        </w:rPr>
        <w:t xml:space="preserve">etween the marks. The District </w:t>
      </w:r>
      <w:r w:rsidRPr="0071205E">
        <w:rPr>
          <w:rFonts w:ascii="Garamond" w:hAnsi="Garamond"/>
          <w:sz w:val="24"/>
          <w:szCs w:val="24"/>
        </w:rPr>
        <w:t>Court did not clearly err with regard to either finding.</w:t>
      </w:r>
    </w:p>
    <w:p w14:paraId="2517FF5F" w14:textId="60E42586" w:rsidR="0071205E" w:rsidRPr="0071205E" w:rsidRDefault="00531CDC" w:rsidP="00521E86">
      <w:pPr>
        <w:widowControl/>
        <w:spacing w:after="120"/>
        <w:ind w:firstLine="720"/>
        <w:jc w:val="both"/>
        <w:outlineLvl w:val="0"/>
        <w:rPr>
          <w:rFonts w:ascii="Garamond" w:hAnsi="Garamond"/>
          <w:sz w:val="24"/>
          <w:szCs w:val="24"/>
        </w:rPr>
      </w:pPr>
      <w:r>
        <w:rPr>
          <w:rFonts w:ascii="Garamond" w:hAnsi="Garamond"/>
          <w:sz w:val="24"/>
          <w:szCs w:val="24"/>
        </w:rPr>
        <w:t xml:space="preserve">1. Degree </w:t>
      </w:r>
      <w:r w:rsidR="0071205E" w:rsidRPr="0071205E">
        <w:rPr>
          <w:rFonts w:ascii="Garamond" w:hAnsi="Garamond"/>
          <w:sz w:val="24"/>
          <w:szCs w:val="24"/>
        </w:rPr>
        <w:t xml:space="preserve">of Similarity </w:t>
      </w:r>
    </w:p>
    <w:p w14:paraId="16B71C8E" w14:textId="60A6BB5A" w:rsidR="0071205E" w:rsidRPr="0071205E" w:rsidRDefault="0071205E" w:rsidP="00D22839">
      <w:pPr>
        <w:widowControl/>
        <w:spacing w:after="120"/>
        <w:ind w:firstLine="720"/>
        <w:jc w:val="both"/>
        <w:rPr>
          <w:rFonts w:ascii="Garamond" w:hAnsi="Garamond"/>
          <w:sz w:val="24"/>
          <w:szCs w:val="24"/>
        </w:rPr>
      </w:pPr>
      <w:r w:rsidRPr="0071205E">
        <w:rPr>
          <w:rFonts w:ascii="Garamond" w:hAnsi="Garamond"/>
          <w:sz w:val="24"/>
          <w:szCs w:val="24"/>
        </w:rPr>
        <w:t>In Starbucks IV we held that "[w]ith respect to the first factor--the degree of similarity between the marks--the District Court did not clearly err in finding that the Charbucks Marks were minimally similar to the Starbucks Marks." We highlighted the difference between the Starbucks Marks and Cha</w:t>
      </w:r>
      <w:r w:rsidRPr="0071205E">
        <w:rPr>
          <w:rFonts w:ascii="Garamond" w:hAnsi="Garamond"/>
          <w:sz w:val="24"/>
          <w:szCs w:val="24"/>
        </w:rPr>
        <w:t>r</w:t>
      </w:r>
      <w:r w:rsidRPr="0071205E">
        <w:rPr>
          <w:rFonts w:ascii="Garamond" w:hAnsi="Garamond"/>
          <w:sz w:val="24"/>
          <w:szCs w:val="24"/>
        </w:rPr>
        <w:t>bucks Marks when the latter are placed in the context of Black Bear's packaging and the word "Cha</w:t>
      </w:r>
      <w:r w:rsidRPr="0071205E">
        <w:rPr>
          <w:rFonts w:ascii="Garamond" w:hAnsi="Garamond"/>
          <w:sz w:val="24"/>
          <w:szCs w:val="24"/>
        </w:rPr>
        <w:t>r</w:t>
      </w:r>
      <w:r w:rsidRPr="0071205E">
        <w:rPr>
          <w:rFonts w:ascii="Garamond" w:hAnsi="Garamond"/>
          <w:sz w:val="24"/>
          <w:szCs w:val="24"/>
        </w:rPr>
        <w:t>bucks" is incorporated into the phrases "Charbucks Blend" and "Mister Charbucks." "The law of the case ordinarily forecloses relitigation of issues expressly or impliedly decided by the a</w:t>
      </w:r>
      <w:r w:rsidRPr="0071205E">
        <w:rPr>
          <w:rFonts w:ascii="Garamond" w:hAnsi="Garamond"/>
          <w:sz w:val="24"/>
          <w:szCs w:val="24"/>
        </w:rPr>
        <w:t>p</w:t>
      </w:r>
      <w:r w:rsidRPr="0071205E">
        <w:rPr>
          <w:rFonts w:ascii="Garamond" w:hAnsi="Garamond"/>
          <w:sz w:val="24"/>
          <w:szCs w:val="24"/>
        </w:rPr>
        <w:t>pellate court." Although not binding, the doctrine "counsels a court against revisiting its prior rulings in subsequent stages of the same case absent 'cogent' and 'compelling' reasons such as 'an intervening change of co</w:t>
      </w:r>
      <w:r w:rsidRPr="0071205E">
        <w:rPr>
          <w:rFonts w:ascii="Garamond" w:hAnsi="Garamond"/>
          <w:sz w:val="24"/>
          <w:szCs w:val="24"/>
        </w:rPr>
        <w:t>n</w:t>
      </w:r>
      <w:r w:rsidRPr="0071205E">
        <w:rPr>
          <w:rFonts w:ascii="Garamond" w:hAnsi="Garamond"/>
          <w:sz w:val="24"/>
          <w:szCs w:val="24"/>
        </w:rPr>
        <w:t>trolling law, the availability of new evidence, or the need to correct a clear error or prevent manifest injustice.'" Starbucks</w:t>
      </w:r>
      <w:r w:rsidR="00D22839">
        <w:rPr>
          <w:rFonts w:ascii="Garamond" w:hAnsi="Garamond"/>
          <w:sz w:val="24"/>
          <w:szCs w:val="24"/>
        </w:rPr>
        <w:t xml:space="preserve"> advances no compelling reason </w:t>
      </w:r>
      <w:r w:rsidRPr="0071205E">
        <w:rPr>
          <w:rFonts w:ascii="Garamond" w:hAnsi="Garamond"/>
          <w:sz w:val="24"/>
          <w:szCs w:val="24"/>
        </w:rPr>
        <w:t>for us to revisit our ruling on the issue of similar</w:t>
      </w:r>
      <w:r w:rsidRPr="0071205E">
        <w:rPr>
          <w:rFonts w:ascii="Garamond" w:hAnsi="Garamond"/>
          <w:sz w:val="24"/>
          <w:szCs w:val="24"/>
        </w:rPr>
        <w:t>i</w:t>
      </w:r>
      <w:r w:rsidRPr="0071205E">
        <w:rPr>
          <w:rFonts w:ascii="Garamond" w:hAnsi="Garamond"/>
          <w:sz w:val="24"/>
          <w:szCs w:val="24"/>
        </w:rPr>
        <w:t>ty</w:t>
      </w:r>
      <w:r w:rsidR="00D22839">
        <w:rPr>
          <w:rFonts w:ascii="Garamond" w:hAnsi="Garamond"/>
          <w:sz w:val="24"/>
          <w:szCs w:val="24"/>
        </w:rPr>
        <w:t>….</w:t>
      </w:r>
    </w:p>
    <w:p w14:paraId="09CF2BF0" w14:textId="77777777" w:rsidR="0071205E" w:rsidRPr="0071205E" w:rsidRDefault="0071205E" w:rsidP="00521E86">
      <w:pPr>
        <w:widowControl/>
        <w:spacing w:after="120"/>
        <w:ind w:firstLine="720"/>
        <w:jc w:val="both"/>
        <w:outlineLvl w:val="0"/>
        <w:rPr>
          <w:rFonts w:ascii="Garamond" w:hAnsi="Garamond"/>
          <w:sz w:val="24"/>
          <w:szCs w:val="24"/>
        </w:rPr>
      </w:pPr>
      <w:r w:rsidRPr="0071205E">
        <w:rPr>
          <w:rFonts w:ascii="Garamond" w:hAnsi="Garamond"/>
          <w:sz w:val="24"/>
          <w:szCs w:val="24"/>
        </w:rPr>
        <w:t xml:space="preserve">2. Actual Association </w:t>
      </w:r>
    </w:p>
    <w:p w14:paraId="6BD53A13" w14:textId="5C012F5B"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Starbucks next contends that the District Court's finding that actual association "weighs no more than minimally" in Starbucks' favor was error for two reasons. First, Starbucks argues, Black Bear's admitted intent to create an association--the fifth statutory factor--raises a "presumption of ass</w:t>
      </w:r>
      <w:r w:rsidRPr="0071205E">
        <w:rPr>
          <w:rFonts w:ascii="Garamond" w:hAnsi="Garamond"/>
          <w:sz w:val="24"/>
          <w:szCs w:val="24"/>
        </w:rPr>
        <w:t>o</w:t>
      </w:r>
      <w:r w:rsidRPr="0071205E">
        <w:rPr>
          <w:rFonts w:ascii="Garamond" w:hAnsi="Garamond"/>
          <w:sz w:val="24"/>
          <w:szCs w:val="24"/>
        </w:rPr>
        <w:t>ciation," or at least is strong ev</w:t>
      </w:r>
      <w:r w:rsidRPr="0071205E">
        <w:rPr>
          <w:rFonts w:ascii="Garamond" w:hAnsi="Garamond"/>
          <w:sz w:val="24"/>
          <w:szCs w:val="24"/>
        </w:rPr>
        <w:t>i</w:t>
      </w:r>
      <w:r w:rsidRPr="0071205E">
        <w:rPr>
          <w:rFonts w:ascii="Garamond" w:hAnsi="Garamond"/>
          <w:sz w:val="24"/>
          <w:szCs w:val="24"/>
        </w:rPr>
        <w:t>dence of actual association--the sixth statutory factor. Second, it argues that the District Court impro</w:t>
      </w:r>
      <w:r w:rsidRPr="0071205E">
        <w:rPr>
          <w:rFonts w:ascii="Garamond" w:hAnsi="Garamond"/>
          <w:sz w:val="24"/>
          <w:szCs w:val="24"/>
        </w:rPr>
        <w:t>p</w:t>
      </w:r>
      <w:r w:rsidRPr="0071205E">
        <w:rPr>
          <w:rFonts w:ascii="Garamond" w:hAnsi="Garamond"/>
          <w:sz w:val="24"/>
          <w:szCs w:val="24"/>
        </w:rPr>
        <w:t>erly discounted the Mitofsky survey evidence, which, in Starbucks' view, proves a high degree of actual association. We reject both arguments.</w:t>
      </w:r>
    </w:p>
    <w:p w14:paraId="264DDC3F" w14:textId="34829299" w:rsidR="0071205E" w:rsidRPr="0071205E" w:rsidRDefault="0071205E" w:rsidP="00521E86">
      <w:pPr>
        <w:widowControl/>
        <w:spacing w:after="120"/>
        <w:ind w:firstLine="720"/>
        <w:jc w:val="both"/>
        <w:outlineLvl w:val="0"/>
        <w:rPr>
          <w:rFonts w:ascii="Garamond" w:hAnsi="Garamond"/>
          <w:sz w:val="24"/>
          <w:szCs w:val="24"/>
        </w:rPr>
      </w:pPr>
      <w:r w:rsidRPr="0071205E">
        <w:rPr>
          <w:rFonts w:ascii="Garamond" w:hAnsi="Garamond"/>
          <w:sz w:val="24"/>
          <w:szCs w:val="24"/>
        </w:rPr>
        <w:t xml:space="preserve">a. Intent to Create an Association </w:t>
      </w:r>
    </w:p>
    <w:p w14:paraId="14071190" w14:textId="05568AB6"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As an initial matter, an intent to create an association is a separate factor under the TDRA and does not constitute per se evidence that the actual association factor weighs in favor of the owner of the famous mark. In support of its argument to the contrary, Starbucks quotes McCarthy's treatise, which states, "If the junior [user] intended to </w:t>
      </w:r>
      <w:r w:rsidR="009D3AE6">
        <w:rPr>
          <w:rFonts w:ascii="Garamond" w:hAnsi="Garamond"/>
          <w:sz w:val="24"/>
          <w:szCs w:val="24"/>
        </w:rPr>
        <w:t xml:space="preserve">create an association, [*209] </w:t>
      </w:r>
      <w:r w:rsidRPr="0071205E">
        <w:rPr>
          <w:rFonts w:ascii="Garamond" w:hAnsi="Garamond"/>
          <w:sz w:val="24"/>
          <w:szCs w:val="24"/>
        </w:rPr>
        <w:t>the law may assume that it succeeded." McCarthy ß 24:119. Starbucks similarly relies on Federal Express Corp. v. Federal Espre</w:t>
      </w:r>
      <w:r w:rsidRPr="0071205E">
        <w:rPr>
          <w:rFonts w:ascii="Garamond" w:hAnsi="Garamond"/>
          <w:sz w:val="24"/>
          <w:szCs w:val="24"/>
        </w:rPr>
        <w:t>s</w:t>
      </w:r>
      <w:r w:rsidRPr="0071205E">
        <w:rPr>
          <w:rFonts w:ascii="Garamond" w:hAnsi="Garamond"/>
          <w:sz w:val="24"/>
          <w:szCs w:val="24"/>
        </w:rPr>
        <w:t>so, Inc., 201 F.3d 168 (2d Cir. 2000), a dilution case in which we stated that the trier of fact "may well find that the marks are of sufficient similarity so that, in the mind of the consumer, the junior mark will conjure an association with the senior, especially in light of the testimony of [Federal Espresso's foun</w:t>
      </w:r>
      <w:r w:rsidRPr="0071205E">
        <w:rPr>
          <w:rFonts w:ascii="Garamond" w:hAnsi="Garamond"/>
          <w:sz w:val="24"/>
          <w:szCs w:val="24"/>
        </w:rPr>
        <w:t>d</w:t>
      </w:r>
      <w:r w:rsidRPr="0071205E">
        <w:rPr>
          <w:rFonts w:ascii="Garamond" w:hAnsi="Garamond"/>
          <w:sz w:val="24"/>
          <w:szCs w:val="24"/>
        </w:rPr>
        <w:t>er] that she chose the name Federal Espresso, in part, precisely because it would</w:t>
      </w:r>
      <w:r w:rsidR="009D3AE6">
        <w:rPr>
          <w:rFonts w:ascii="Garamond" w:hAnsi="Garamond"/>
          <w:sz w:val="24"/>
          <w:szCs w:val="24"/>
        </w:rPr>
        <w:t xml:space="preserve"> call to mind Federal Express."</w:t>
      </w:r>
    </w:p>
    <w:p w14:paraId="4C8538BC"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Both Federal Espresso and McCarthy's treatise acknowledge the importance of the intent factor in determining likelihood of dilution. This makes sense, as district courts must evaluate whether a junior mark is "likely to cause" "association arising from the similarity" between the marks "that impairs the distinctiveness of the famous mark," 15 U.S.C. ßß 1125(c)(1), (c)(2)(B), and the intent to associate may bear directly on the likelihood that the junior mark will cause such an association.</w:t>
      </w:r>
    </w:p>
    <w:p w14:paraId="2DDE6B66" w14:textId="28D811C1"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That said, "we interpret statutes to give effect, if possible, to every clause and word and to avoid statutory interpretations that render provisions superfluous." Adopting Starbucks' presumption arg</w:t>
      </w:r>
      <w:r w:rsidRPr="0071205E">
        <w:rPr>
          <w:rFonts w:ascii="Garamond" w:hAnsi="Garamond"/>
          <w:sz w:val="24"/>
          <w:szCs w:val="24"/>
        </w:rPr>
        <w:t>u</w:t>
      </w:r>
      <w:r w:rsidRPr="0071205E">
        <w:rPr>
          <w:rFonts w:ascii="Garamond" w:hAnsi="Garamond"/>
          <w:sz w:val="24"/>
          <w:szCs w:val="24"/>
        </w:rPr>
        <w:t>ment would effectively merge the intent to associate and the actual association factors, by making the former determinative of the latter, rather than treating them as distinct but related conside</w:t>
      </w:r>
      <w:r w:rsidR="009D3AE6">
        <w:rPr>
          <w:rFonts w:ascii="Garamond" w:hAnsi="Garamond"/>
          <w:sz w:val="24"/>
          <w:szCs w:val="24"/>
        </w:rPr>
        <w:t xml:space="preserve">rations. We therefore conclude </w:t>
      </w:r>
      <w:r w:rsidRPr="0071205E">
        <w:rPr>
          <w:rFonts w:ascii="Garamond" w:hAnsi="Garamond"/>
          <w:sz w:val="24"/>
          <w:szCs w:val="24"/>
        </w:rPr>
        <w:t>that the District Court did not clearly err in finding that Clark's testimony concer</w:t>
      </w:r>
      <w:r w:rsidRPr="0071205E">
        <w:rPr>
          <w:rFonts w:ascii="Garamond" w:hAnsi="Garamond"/>
          <w:sz w:val="24"/>
          <w:szCs w:val="24"/>
        </w:rPr>
        <w:t>n</w:t>
      </w:r>
      <w:r w:rsidRPr="0071205E">
        <w:rPr>
          <w:rFonts w:ascii="Garamond" w:hAnsi="Garamond"/>
          <w:sz w:val="24"/>
          <w:szCs w:val="24"/>
        </w:rPr>
        <w:t>ing the origin of the Charbucks Marks was not an "admission" of actual association and that his inte</w:t>
      </w:r>
      <w:r w:rsidRPr="0071205E">
        <w:rPr>
          <w:rFonts w:ascii="Garamond" w:hAnsi="Garamond"/>
          <w:sz w:val="24"/>
          <w:szCs w:val="24"/>
        </w:rPr>
        <w:t>n</w:t>
      </w:r>
      <w:r w:rsidRPr="0071205E">
        <w:rPr>
          <w:rFonts w:ascii="Garamond" w:hAnsi="Garamond"/>
          <w:sz w:val="24"/>
          <w:szCs w:val="24"/>
        </w:rPr>
        <w:t>tions were not definitive proof of an actual association between the marks.</w:t>
      </w:r>
    </w:p>
    <w:p w14:paraId="2EB88401" w14:textId="77777777" w:rsidR="0071205E" w:rsidRPr="0071205E" w:rsidRDefault="0071205E" w:rsidP="00521E86">
      <w:pPr>
        <w:widowControl/>
        <w:spacing w:after="120"/>
        <w:ind w:firstLine="720"/>
        <w:jc w:val="both"/>
        <w:outlineLvl w:val="0"/>
        <w:rPr>
          <w:rFonts w:ascii="Garamond" w:hAnsi="Garamond"/>
          <w:sz w:val="24"/>
          <w:szCs w:val="24"/>
        </w:rPr>
      </w:pPr>
      <w:r w:rsidRPr="0071205E">
        <w:rPr>
          <w:rFonts w:ascii="Garamond" w:hAnsi="Garamond"/>
          <w:sz w:val="24"/>
          <w:szCs w:val="24"/>
        </w:rPr>
        <w:t xml:space="preserve">b. Mitofsky Survey </w:t>
      </w:r>
    </w:p>
    <w:p w14:paraId="77ACDE2C" w14:textId="2E3213FA"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Nor did the District Court err when it discounted the Mitofsky survey evidence because the survey measured only how respondents reacted to the isolated word "Charbucks," rather than to the Charbucks Marks in context, and because the share of respondents who indicated an association b</w:t>
      </w:r>
      <w:r w:rsidRPr="0071205E">
        <w:rPr>
          <w:rFonts w:ascii="Garamond" w:hAnsi="Garamond"/>
          <w:sz w:val="24"/>
          <w:szCs w:val="24"/>
        </w:rPr>
        <w:t>e</w:t>
      </w:r>
      <w:r w:rsidRPr="0071205E">
        <w:rPr>
          <w:rFonts w:ascii="Garamond" w:hAnsi="Garamond"/>
          <w:sz w:val="24"/>
          <w:szCs w:val="24"/>
        </w:rPr>
        <w:t xml:space="preserve">tween the marks was "relatively small." </w:t>
      </w:r>
      <w:r w:rsidR="0071299C">
        <w:rPr>
          <w:rFonts w:ascii="Garamond" w:hAnsi="Garamond"/>
          <w:sz w:val="24"/>
          <w:szCs w:val="24"/>
        </w:rPr>
        <w:t xml:space="preserve"> </w:t>
      </w:r>
      <w:r w:rsidRPr="0071205E">
        <w:rPr>
          <w:rFonts w:ascii="Garamond" w:hAnsi="Garamond"/>
          <w:sz w:val="24"/>
          <w:szCs w:val="24"/>
        </w:rPr>
        <w:t>We arrive at this conclusion for two reasons.</w:t>
      </w:r>
    </w:p>
    <w:p w14:paraId="3DD42696" w14:textId="6E738885"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First, it coheres with our decision in Starbucks IV, in which we discerned no clear error in the District Court's consideration of context--including the addition of "Mister" or "Blend" to "Charbucks" and Black Bear's packaging--in assessing the marks' similarity, as consumers are likely to experience the product only in the context of those full phrases and Black Bear's packaging or website. </w:t>
      </w:r>
      <w:r w:rsidR="0071299C">
        <w:rPr>
          <w:rFonts w:ascii="Garamond" w:hAnsi="Garamond"/>
          <w:sz w:val="24"/>
          <w:szCs w:val="24"/>
        </w:rPr>
        <w:t xml:space="preserve"> </w:t>
      </w:r>
      <w:r w:rsidRPr="0071205E">
        <w:rPr>
          <w:rFonts w:ascii="Garamond" w:hAnsi="Garamond"/>
          <w:sz w:val="24"/>
          <w:szCs w:val="24"/>
        </w:rPr>
        <w:t>In our analysis of Starbucks' infringement claim, we similarly determined that the Dis</w:t>
      </w:r>
      <w:r w:rsidR="0071299C">
        <w:rPr>
          <w:rFonts w:ascii="Garamond" w:hAnsi="Garamond"/>
          <w:sz w:val="24"/>
          <w:szCs w:val="24"/>
        </w:rPr>
        <w:t xml:space="preserve">trict </w:t>
      </w:r>
      <w:r w:rsidRPr="0071205E">
        <w:rPr>
          <w:rFonts w:ascii="Garamond" w:hAnsi="Garamond"/>
          <w:sz w:val="24"/>
          <w:szCs w:val="24"/>
        </w:rPr>
        <w:t>Court did not clearly err when it found (1) that the survey failed to demonstrate significant actual confusion, "[p]articularly in light of the fact that the survey was administered by telephone and did not present the term 'Charbucks' in the context in which Black Bear used it," and (2) that the survey should have examined the effects of "a hypothetical coffee named either 'Mister Charbucks' or 'Charbucks Blend'" on the respondents' i</w:t>
      </w:r>
      <w:r w:rsidRPr="0071205E">
        <w:rPr>
          <w:rFonts w:ascii="Garamond" w:hAnsi="Garamond"/>
          <w:sz w:val="24"/>
          <w:szCs w:val="24"/>
        </w:rPr>
        <w:t>m</w:t>
      </w:r>
      <w:r w:rsidRPr="0071205E">
        <w:rPr>
          <w:rFonts w:ascii="Garamond" w:hAnsi="Garamond"/>
          <w:sz w:val="24"/>
          <w:szCs w:val="24"/>
        </w:rPr>
        <w:t>pressions of Starbucks coffee as a measure of dilution by tarnishment.</w:t>
      </w:r>
    </w:p>
    <w:p w14:paraId="0ED911DA" w14:textId="530ADAC6"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Second, our conclusion also comports with our prior precedents and other cases unrelated to Starbucks. In Playtex Products, Inc. v. Georgia-Pacific Corp., 390 F.3d 158 (2d Cir. 2004), a case inte</w:t>
      </w:r>
      <w:r w:rsidRPr="0071205E">
        <w:rPr>
          <w:rFonts w:ascii="Garamond" w:hAnsi="Garamond"/>
          <w:sz w:val="24"/>
          <w:szCs w:val="24"/>
        </w:rPr>
        <w:t>r</w:t>
      </w:r>
      <w:r w:rsidRPr="0071205E">
        <w:rPr>
          <w:rFonts w:ascii="Garamond" w:hAnsi="Garamond"/>
          <w:sz w:val="24"/>
          <w:szCs w:val="24"/>
        </w:rPr>
        <w:t>preting the pre-revision FTDA, we held that the results of a consumer survey showing an  [*210]  ass</w:t>
      </w:r>
      <w:r w:rsidRPr="0071205E">
        <w:rPr>
          <w:rFonts w:ascii="Garamond" w:hAnsi="Garamond"/>
          <w:sz w:val="24"/>
          <w:szCs w:val="24"/>
        </w:rPr>
        <w:t>o</w:t>
      </w:r>
      <w:r w:rsidRPr="0071205E">
        <w:rPr>
          <w:rFonts w:ascii="Garamond" w:hAnsi="Garamond"/>
          <w:sz w:val="24"/>
          <w:szCs w:val="24"/>
        </w:rPr>
        <w:t>ciation between the marks "Moist-Ones" and "Wet Ones" were inadmissible as evidence of actual dil</w:t>
      </w:r>
      <w:r w:rsidRPr="0071205E">
        <w:rPr>
          <w:rFonts w:ascii="Garamond" w:hAnsi="Garamond"/>
          <w:sz w:val="24"/>
          <w:szCs w:val="24"/>
        </w:rPr>
        <w:t>u</w:t>
      </w:r>
      <w:r w:rsidRPr="0071205E">
        <w:rPr>
          <w:rFonts w:ascii="Garamond" w:hAnsi="Garamond"/>
          <w:sz w:val="24"/>
          <w:szCs w:val="24"/>
        </w:rPr>
        <w:t>tion because the defendant's product was "presented and packaged" as "Quilted Northern Moist-Ones." District courts within our Circuit have applied the same reasoning in evaluating surveys in the infringement context. In the dilution co</w:t>
      </w:r>
      <w:r w:rsidRPr="0071205E">
        <w:rPr>
          <w:rFonts w:ascii="Garamond" w:hAnsi="Garamond"/>
          <w:sz w:val="24"/>
          <w:szCs w:val="24"/>
        </w:rPr>
        <w:t>n</w:t>
      </w:r>
      <w:r w:rsidRPr="0071205E">
        <w:rPr>
          <w:rFonts w:ascii="Garamond" w:hAnsi="Garamond"/>
          <w:sz w:val="24"/>
          <w:szCs w:val="24"/>
        </w:rPr>
        <w:t>text, the language of the FTDA, which requires a plaintiff to show the defendant's "use of a mark . . . in commerce that is likely to cause dilution by blurring . . . ," 15 U.S.C. ß 1125(c)(1) (emphasis added), clarifies that the way the defendant's mark is used in co</w:t>
      </w:r>
      <w:r w:rsidRPr="0071205E">
        <w:rPr>
          <w:rFonts w:ascii="Garamond" w:hAnsi="Garamond"/>
          <w:sz w:val="24"/>
          <w:szCs w:val="24"/>
        </w:rPr>
        <w:t>m</w:t>
      </w:r>
      <w:r w:rsidRPr="0071205E">
        <w:rPr>
          <w:rFonts w:ascii="Garamond" w:hAnsi="Garamond"/>
          <w:sz w:val="24"/>
          <w:szCs w:val="24"/>
        </w:rPr>
        <w:t>merce is central to the dilution inquiry. As in Playtex, the District Court was within its rights to co</w:t>
      </w:r>
      <w:r w:rsidRPr="0071205E">
        <w:rPr>
          <w:rFonts w:ascii="Garamond" w:hAnsi="Garamond"/>
          <w:sz w:val="24"/>
          <w:szCs w:val="24"/>
        </w:rPr>
        <w:t>n</w:t>
      </w:r>
      <w:r w:rsidRPr="0071205E">
        <w:rPr>
          <w:rFonts w:ascii="Garamond" w:hAnsi="Garamond"/>
          <w:sz w:val="24"/>
          <w:szCs w:val="24"/>
        </w:rPr>
        <w:t>clude that the Mitofsky survey had limited probative value because the defendant's marks were not pr</w:t>
      </w:r>
      <w:r w:rsidRPr="0071205E">
        <w:rPr>
          <w:rFonts w:ascii="Garamond" w:hAnsi="Garamond"/>
          <w:sz w:val="24"/>
          <w:szCs w:val="24"/>
        </w:rPr>
        <w:t>e</w:t>
      </w:r>
      <w:r w:rsidRPr="0071205E">
        <w:rPr>
          <w:rFonts w:ascii="Garamond" w:hAnsi="Garamond"/>
          <w:sz w:val="24"/>
          <w:szCs w:val="24"/>
        </w:rPr>
        <w:t>sented to survey r</w:t>
      </w:r>
      <w:r w:rsidRPr="0071205E">
        <w:rPr>
          <w:rFonts w:ascii="Garamond" w:hAnsi="Garamond"/>
          <w:sz w:val="24"/>
          <w:szCs w:val="24"/>
        </w:rPr>
        <w:t>e</w:t>
      </w:r>
      <w:r w:rsidRPr="0071205E">
        <w:rPr>
          <w:rFonts w:ascii="Garamond" w:hAnsi="Garamond"/>
          <w:sz w:val="24"/>
          <w:szCs w:val="24"/>
        </w:rPr>
        <w:t>spondents as they are actually "presented and packaged" in commerce.</w:t>
      </w:r>
    </w:p>
    <w:p w14:paraId="388E8501" w14:textId="4BDA1BE5"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Citing our decision in Nabisco, Starbucks nevertheless argues that consumers are likely to hear and view the term "Charbucks" outside the context of Black Bear's packaging and without the full phrases "Mister Charbucks" and "Charbucks Blend." But Starbucks presented no record evidence that "Charbucks" is ever read or heard in isolation, and in the absence of such evidence, we are not persua</w:t>
      </w:r>
      <w:r w:rsidRPr="0071205E">
        <w:rPr>
          <w:rFonts w:ascii="Garamond" w:hAnsi="Garamond"/>
          <w:sz w:val="24"/>
          <w:szCs w:val="24"/>
        </w:rPr>
        <w:t>d</w:t>
      </w:r>
      <w:r w:rsidRPr="0071205E">
        <w:rPr>
          <w:rFonts w:ascii="Garamond" w:hAnsi="Garamond"/>
          <w:sz w:val="24"/>
          <w:szCs w:val="24"/>
        </w:rPr>
        <w:t>ed by the argument. To the contrary, as we noted in Starbucks IV, "it is unlikely that 'Charbucks' will appear to consumers outside the</w:t>
      </w:r>
      <w:r w:rsidR="00F41B23">
        <w:rPr>
          <w:rFonts w:ascii="Garamond" w:hAnsi="Garamond"/>
          <w:sz w:val="24"/>
          <w:szCs w:val="24"/>
        </w:rPr>
        <w:t xml:space="preserve"> context of its normal </w:t>
      </w:r>
      <w:r w:rsidRPr="0071205E">
        <w:rPr>
          <w:rFonts w:ascii="Garamond" w:hAnsi="Garamond"/>
          <w:sz w:val="24"/>
          <w:szCs w:val="24"/>
        </w:rPr>
        <w:t>use," and "it was not clea</w:t>
      </w:r>
      <w:r w:rsidRPr="0071205E">
        <w:rPr>
          <w:rFonts w:ascii="Garamond" w:hAnsi="Garamond"/>
          <w:sz w:val="24"/>
          <w:szCs w:val="24"/>
        </w:rPr>
        <w:t>r</w:t>
      </w:r>
      <w:r w:rsidRPr="0071205E">
        <w:rPr>
          <w:rFonts w:ascii="Garamond" w:hAnsi="Garamond"/>
          <w:sz w:val="24"/>
          <w:szCs w:val="24"/>
        </w:rPr>
        <w:t>ly erroneous for the District Court to find that the 'Mister' prefix or 'Blend' suffix lessened the s</w:t>
      </w:r>
      <w:r w:rsidR="00F41B23">
        <w:rPr>
          <w:rFonts w:ascii="Garamond" w:hAnsi="Garamond"/>
          <w:sz w:val="24"/>
          <w:szCs w:val="24"/>
        </w:rPr>
        <w:t>imilarity between the [marks]."</w:t>
      </w:r>
    </w:p>
    <w:p w14:paraId="575073EA" w14:textId="7777777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Starbucks also challenges the District Court's finding that the association between "Charbucks" and Starbucks was "relatively small." It contends that the Mitofsky survey in fact provided evidence of substantial actual association. We disagree.</w:t>
      </w:r>
    </w:p>
    <w:p w14:paraId="447BAA47" w14:textId="3BBBBEE3"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It is true that in response to Mitofsky's question most probative of actual association--"What  is the FIRST THING that comes to your mind when you hear the name 'Charbucks,' spelled C-H-A-R-B-U-C-K-S?"--30.5 percent of respondents said "Starbucks," and 9 percent said "coffee." Both of these responses suggest an association between "Charbucks" and the Starbucks Marks. In Jada Toys, 518 F.3d at 636, for example, the Ninth Circuit held that a survey demonstrated actual association b</w:t>
      </w:r>
      <w:r w:rsidRPr="0071205E">
        <w:rPr>
          <w:rFonts w:ascii="Garamond" w:hAnsi="Garamond"/>
          <w:sz w:val="24"/>
          <w:szCs w:val="24"/>
        </w:rPr>
        <w:t>e</w:t>
      </w:r>
      <w:r w:rsidRPr="0071205E">
        <w:rPr>
          <w:rFonts w:ascii="Garamond" w:hAnsi="Garamond"/>
          <w:sz w:val="24"/>
          <w:szCs w:val="24"/>
        </w:rPr>
        <w:t>cause it showed that 28 percent of respondents thought Jada's product was made by Mattel when asked who they thought produced the item. Here, however, the equivalent question in Mitofsky's survey was: "Can you name any company or store that y</w:t>
      </w:r>
      <w:r w:rsidR="00F41B23">
        <w:rPr>
          <w:rFonts w:ascii="Garamond" w:hAnsi="Garamond"/>
          <w:sz w:val="24"/>
          <w:szCs w:val="24"/>
        </w:rPr>
        <w:t xml:space="preserve">ou think might offer a product [*211] </w:t>
      </w:r>
      <w:r w:rsidRPr="0071205E">
        <w:rPr>
          <w:rFonts w:ascii="Garamond" w:hAnsi="Garamond"/>
          <w:sz w:val="24"/>
          <w:szCs w:val="24"/>
        </w:rPr>
        <w:t>called 'Charbucks'?"</w:t>
      </w:r>
      <w:r w:rsidR="00F41B23">
        <w:rPr>
          <w:rStyle w:val="FootnoteReference"/>
          <w:rFonts w:ascii="Garamond" w:hAnsi="Garamond"/>
          <w:sz w:val="24"/>
          <w:szCs w:val="24"/>
        </w:rPr>
        <w:footnoteReference w:id="8"/>
      </w:r>
      <w:r w:rsidRPr="0071205E">
        <w:rPr>
          <w:rFonts w:ascii="Garamond" w:hAnsi="Garamond"/>
          <w:sz w:val="24"/>
          <w:szCs w:val="24"/>
        </w:rPr>
        <w:t xml:space="preserve"> In response to that question concerning source on the Mitofsky survey, however, only 3.1 percent of r</w:t>
      </w:r>
      <w:r w:rsidRPr="0071205E">
        <w:rPr>
          <w:rFonts w:ascii="Garamond" w:hAnsi="Garamond"/>
          <w:sz w:val="24"/>
          <w:szCs w:val="24"/>
        </w:rPr>
        <w:t>e</w:t>
      </w:r>
      <w:r w:rsidRPr="0071205E">
        <w:rPr>
          <w:rFonts w:ascii="Garamond" w:hAnsi="Garamond"/>
          <w:sz w:val="24"/>
          <w:szCs w:val="24"/>
        </w:rPr>
        <w:t>spondents answered "Starbucks" and 1.3 percent answered "coffee house." These percen</w:t>
      </w:r>
      <w:r w:rsidRPr="0071205E">
        <w:rPr>
          <w:rFonts w:ascii="Garamond" w:hAnsi="Garamond"/>
          <w:sz w:val="24"/>
          <w:szCs w:val="24"/>
        </w:rPr>
        <w:t>t</w:t>
      </w:r>
      <w:r w:rsidRPr="0071205E">
        <w:rPr>
          <w:rFonts w:ascii="Garamond" w:hAnsi="Garamond"/>
          <w:sz w:val="24"/>
          <w:szCs w:val="24"/>
        </w:rPr>
        <w:t>ages are far below that for the equivalent question in Jada Toys and fail to demonstrate anything more than minimal actual association.</w:t>
      </w:r>
      <w:r w:rsidR="00F41B23">
        <w:rPr>
          <w:rStyle w:val="FootnoteReference"/>
          <w:rFonts w:ascii="Garamond" w:hAnsi="Garamond"/>
          <w:sz w:val="24"/>
          <w:szCs w:val="24"/>
        </w:rPr>
        <w:footnoteReference w:id="9"/>
      </w:r>
    </w:p>
    <w:p w14:paraId="3009D797" w14:textId="4876C49A" w:rsid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Ultimately, on this factor, we consider only whether the District Court clearly erred when it found that the Mitofsky survey tilts the "actual association" factor "no more than minimally in [Sta</w:t>
      </w:r>
      <w:r w:rsidRPr="0071205E">
        <w:rPr>
          <w:rFonts w:ascii="Garamond" w:hAnsi="Garamond"/>
          <w:sz w:val="24"/>
          <w:szCs w:val="24"/>
        </w:rPr>
        <w:t>r</w:t>
      </w:r>
      <w:r w:rsidRPr="0071205E">
        <w:rPr>
          <w:rFonts w:ascii="Garamond" w:hAnsi="Garamond"/>
          <w:sz w:val="24"/>
          <w:szCs w:val="24"/>
        </w:rPr>
        <w:t>bucks'] favor." Had the Mitofsky survey presented the Charbucks Marks as they appear in co</w:t>
      </w:r>
      <w:r w:rsidRPr="0071205E">
        <w:rPr>
          <w:rFonts w:ascii="Garamond" w:hAnsi="Garamond"/>
          <w:sz w:val="24"/>
          <w:szCs w:val="24"/>
        </w:rPr>
        <w:t>m</w:t>
      </w:r>
      <w:r w:rsidRPr="0071205E">
        <w:rPr>
          <w:rFonts w:ascii="Garamond" w:hAnsi="Garamond"/>
          <w:sz w:val="24"/>
          <w:szCs w:val="24"/>
        </w:rPr>
        <w:t>merce, we might well conclude that the District Court erred. But the word "Charbucks" was presented outside of its marketplace context, and Starbucks, which bears the burden of proof, failed to show that this flaw did not materially impact the survey results. We therefore con</w:t>
      </w:r>
      <w:r w:rsidR="000E7086">
        <w:rPr>
          <w:rFonts w:ascii="Garamond" w:hAnsi="Garamond"/>
          <w:sz w:val="24"/>
          <w:szCs w:val="24"/>
        </w:rPr>
        <w:t xml:space="preserve">clude </w:t>
      </w:r>
      <w:r w:rsidRPr="0071205E">
        <w:rPr>
          <w:rFonts w:ascii="Garamond" w:hAnsi="Garamond"/>
          <w:sz w:val="24"/>
          <w:szCs w:val="24"/>
        </w:rPr>
        <w:t>that the record su</w:t>
      </w:r>
      <w:r w:rsidRPr="0071205E">
        <w:rPr>
          <w:rFonts w:ascii="Garamond" w:hAnsi="Garamond"/>
          <w:sz w:val="24"/>
          <w:szCs w:val="24"/>
        </w:rPr>
        <w:t>p</w:t>
      </w:r>
      <w:r w:rsidRPr="0071205E">
        <w:rPr>
          <w:rFonts w:ascii="Garamond" w:hAnsi="Garamond"/>
          <w:sz w:val="24"/>
          <w:szCs w:val="24"/>
        </w:rPr>
        <w:t>ports the District Court's decision to discount the survey and consider the actual association factor as weighing only minimally in Starbucks' favor.</w:t>
      </w:r>
    </w:p>
    <w:p w14:paraId="1EF4E6D7" w14:textId="77777777" w:rsidR="0071205E" w:rsidRPr="0071205E" w:rsidRDefault="0071205E" w:rsidP="00271898">
      <w:pPr>
        <w:widowControl/>
        <w:spacing w:after="120"/>
        <w:jc w:val="center"/>
        <w:rPr>
          <w:rFonts w:ascii="Garamond" w:hAnsi="Garamond"/>
          <w:sz w:val="24"/>
          <w:szCs w:val="24"/>
        </w:rPr>
      </w:pPr>
      <w:r w:rsidRPr="0071205E">
        <w:rPr>
          <w:rFonts w:ascii="Garamond" w:hAnsi="Garamond"/>
          <w:sz w:val="24"/>
          <w:szCs w:val="24"/>
        </w:rPr>
        <w:t xml:space="preserve">D. Balancing </w:t>
      </w:r>
    </w:p>
    <w:p w14:paraId="344881F9" w14:textId="1C6E0CCA"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We next balance the factors enumerated in ß 1125(c)(2)(B), along with any other factors that bear on a likelihood of dilution, de novo. In balancing these factors, we are again mindful that the test is not an inflexible one, and that the ultimate question is whether the Charbucks Marks are likely to cause an association arising from their similarity to the Starbucks Marks, which impairs the Starbucks Marks' tendency to identify the source of Starbucks products in a unique way.</w:t>
      </w:r>
    </w:p>
    <w:p w14:paraId="1DC61A39" w14:textId="346BEE10"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We have already affirmed the District Court's finding of minimal similarity between the Cha</w:t>
      </w:r>
      <w:r w:rsidRPr="0071205E">
        <w:rPr>
          <w:rFonts w:ascii="Garamond" w:hAnsi="Garamond"/>
          <w:sz w:val="24"/>
          <w:szCs w:val="24"/>
        </w:rPr>
        <w:t>r</w:t>
      </w:r>
      <w:r w:rsidRPr="0071205E">
        <w:rPr>
          <w:rFonts w:ascii="Garamond" w:hAnsi="Garamond"/>
          <w:sz w:val="24"/>
          <w:szCs w:val="24"/>
        </w:rPr>
        <w:t>bucks Marks and the Starbucks Marks. That finding weighs heavily in Black Bear's favor. Certainly, a plaintiff may show a likelihood of dilution notwithstanding only minimal similarity. But her</w:t>
      </w:r>
      <w:r w:rsidR="000E7086">
        <w:rPr>
          <w:rFonts w:ascii="Garamond" w:hAnsi="Garamond"/>
          <w:sz w:val="24"/>
          <w:szCs w:val="24"/>
        </w:rPr>
        <w:t xml:space="preserve">e, minimal similarity strongly </w:t>
      </w:r>
      <w:r w:rsidRPr="0071205E">
        <w:rPr>
          <w:rFonts w:ascii="Garamond" w:hAnsi="Garamond"/>
          <w:sz w:val="24"/>
          <w:szCs w:val="24"/>
        </w:rPr>
        <w:t>suggests a relatively low likelihood of an association diluting the senior mark. The statute itself emphasizes the similarity of marks. See ß 1125(c)(2)(B) (defining "dilution by blurring" as "association arising from the similarity between a mark or a trade name and a famous mark that i</w:t>
      </w:r>
      <w:r w:rsidRPr="0071205E">
        <w:rPr>
          <w:rFonts w:ascii="Garamond" w:hAnsi="Garamond"/>
          <w:sz w:val="24"/>
          <w:szCs w:val="24"/>
        </w:rPr>
        <w:t>m</w:t>
      </w:r>
      <w:r w:rsidRPr="0071205E">
        <w:rPr>
          <w:rFonts w:ascii="Garamond" w:hAnsi="Garamond"/>
          <w:sz w:val="24"/>
          <w:szCs w:val="24"/>
        </w:rPr>
        <w:t>pairs the distinctiveness of the famous mark" (emphasis added)). Indeed, in Starbucks IV, we stated that "'similarity' is an integral element in the definition of 'blurring'" under the TDRA and suggested that, without any similarity, there c</w:t>
      </w:r>
      <w:r w:rsidR="000E7086">
        <w:rPr>
          <w:rFonts w:ascii="Garamond" w:hAnsi="Garamond"/>
          <w:sz w:val="24"/>
          <w:szCs w:val="24"/>
        </w:rPr>
        <w:t>ould be no dilution by blurring</w:t>
      </w:r>
      <w:r w:rsidRPr="0071205E">
        <w:rPr>
          <w:rFonts w:ascii="Garamond" w:hAnsi="Garamond"/>
          <w:sz w:val="24"/>
          <w:szCs w:val="24"/>
        </w:rPr>
        <w:t>.</w:t>
      </w:r>
      <w:r w:rsidR="000D62FF">
        <w:rPr>
          <w:rStyle w:val="FootnoteReference"/>
          <w:rFonts w:ascii="Garamond" w:hAnsi="Garamond"/>
          <w:sz w:val="24"/>
          <w:szCs w:val="24"/>
        </w:rPr>
        <w:footnoteReference w:id="10"/>
      </w:r>
    </w:p>
    <w:p w14:paraId="692D0918" w14:textId="7079BA11"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[*212] The next three factors--the degrees of distinctiveness, exclusive use, and recognition--are features of the senior mark itself that do not depend on the use of the junior mark. "[T]he degree of distinctiveness of the senior mark has a considerable bearing on the question </w:t>
      </w:r>
      <w:r w:rsidR="00B45245">
        <w:rPr>
          <w:rFonts w:ascii="Garamond" w:hAnsi="Garamond"/>
          <w:sz w:val="24"/>
          <w:szCs w:val="24"/>
        </w:rPr>
        <w:t xml:space="preserve">whether a junior use will have </w:t>
      </w:r>
      <w:r w:rsidRPr="0071205E">
        <w:rPr>
          <w:rFonts w:ascii="Garamond" w:hAnsi="Garamond"/>
          <w:sz w:val="24"/>
          <w:szCs w:val="24"/>
        </w:rPr>
        <w:t>a diluting effect. . . . [T]he more distinctiveness the mark possesses, the greater the interest to be protected." Nabisco, 191 F.3d at 217. There is no question that "Starbucks"--an arbitrary mark as a</w:t>
      </w:r>
      <w:r w:rsidRPr="0071205E">
        <w:rPr>
          <w:rFonts w:ascii="Garamond" w:hAnsi="Garamond"/>
          <w:sz w:val="24"/>
          <w:szCs w:val="24"/>
        </w:rPr>
        <w:t>p</w:t>
      </w:r>
      <w:r w:rsidRPr="0071205E">
        <w:rPr>
          <w:rFonts w:ascii="Garamond" w:hAnsi="Garamond"/>
          <w:sz w:val="24"/>
          <w:szCs w:val="24"/>
        </w:rPr>
        <w:t>plied to coffee--is highly distinctive. Moreover, because, as the District Court found, the Starbucks Marks are in substantially exclusive use, "the mark's distinctiveness is more likely to be impaired by the junior use," 2005 Hea</w:t>
      </w:r>
      <w:r w:rsidRPr="0071205E">
        <w:rPr>
          <w:rFonts w:ascii="Garamond" w:hAnsi="Garamond"/>
          <w:sz w:val="24"/>
          <w:szCs w:val="24"/>
        </w:rPr>
        <w:t>r</w:t>
      </w:r>
      <w:r w:rsidRPr="0071205E">
        <w:rPr>
          <w:rFonts w:ascii="Garamond" w:hAnsi="Garamond"/>
          <w:sz w:val="24"/>
          <w:szCs w:val="24"/>
        </w:rPr>
        <w:t>ing, at 14 (statement of Anne Gundelfinger). Lastly, as 79 percent of Mitofsky survey r</w:t>
      </w:r>
      <w:r w:rsidRPr="0071205E">
        <w:rPr>
          <w:rFonts w:ascii="Garamond" w:hAnsi="Garamond"/>
          <w:sz w:val="24"/>
          <w:szCs w:val="24"/>
        </w:rPr>
        <w:t>e</w:t>
      </w:r>
      <w:r w:rsidRPr="0071205E">
        <w:rPr>
          <w:rFonts w:ascii="Garamond" w:hAnsi="Garamond"/>
          <w:sz w:val="24"/>
          <w:szCs w:val="24"/>
        </w:rPr>
        <w:t>spondents were familiar with Starbucks, it is undisputed that Starbucks constitutes a widely recognized mark, and that this factor favors Starbucks.</w:t>
      </w:r>
    </w:p>
    <w:p w14:paraId="7FC2C903" w14:textId="25499663"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Although the three factors of distinctiveness, recognition, and exclusivity favor Starbucks and bear to some degree on our assessment of the likelihood of dilution by blurring, the more important factors in the context of this case are the similarity of the marks and actual association. We agree with the District Court that the distinctiveness, recognition, and exclusive use of the Starbucks Marks do not overcome the weak evidence of actual ass</w:t>
      </w:r>
      <w:r w:rsidR="00B45245">
        <w:rPr>
          <w:rFonts w:ascii="Garamond" w:hAnsi="Garamond"/>
          <w:sz w:val="24"/>
          <w:szCs w:val="24"/>
        </w:rPr>
        <w:t xml:space="preserve">ociation between the Charbucks </w:t>
      </w:r>
      <w:r w:rsidRPr="0071205E">
        <w:rPr>
          <w:rFonts w:ascii="Garamond" w:hAnsi="Garamond"/>
          <w:sz w:val="24"/>
          <w:szCs w:val="24"/>
        </w:rPr>
        <w:t>and Starbucks marks. To the contrary, viewed in light of Starbucks' fame, both globally and among the Mitofsky survey pa</w:t>
      </w:r>
      <w:r w:rsidRPr="0071205E">
        <w:rPr>
          <w:rFonts w:ascii="Garamond" w:hAnsi="Garamond"/>
          <w:sz w:val="24"/>
          <w:szCs w:val="24"/>
        </w:rPr>
        <w:t>r</w:t>
      </w:r>
      <w:r w:rsidRPr="0071205E">
        <w:rPr>
          <w:rFonts w:ascii="Garamond" w:hAnsi="Garamond"/>
          <w:sz w:val="24"/>
          <w:szCs w:val="24"/>
        </w:rPr>
        <w:t>ticipants more particularly, the fact that more survey participants did not think of "Starbucks" upon hearing "Charbucks" reinforces the District Court's finding that the marks are only minimally similar, and ther</w:t>
      </w:r>
      <w:r w:rsidRPr="0071205E">
        <w:rPr>
          <w:rFonts w:ascii="Garamond" w:hAnsi="Garamond"/>
          <w:sz w:val="24"/>
          <w:szCs w:val="24"/>
        </w:rPr>
        <w:t>e</w:t>
      </w:r>
      <w:r w:rsidRPr="0071205E">
        <w:rPr>
          <w:rFonts w:ascii="Garamond" w:hAnsi="Garamond"/>
          <w:sz w:val="24"/>
          <w:szCs w:val="24"/>
        </w:rPr>
        <w:t>fore unlikely to prompt an association that impairs the Starbucks Marks. Likewise, although the distin</w:t>
      </w:r>
      <w:r w:rsidRPr="0071205E">
        <w:rPr>
          <w:rFonts w:ascii="Garamond" w:hAnsi="Garamond"/>
          <w:sz w:val="24"/>
          <w:szCs w:val="24"/>
        </w:rPr>
        <w:t>c</w:t>
      </w:r>
      <w:r w:rsidRPr="0071205E">
        <w:rPr>
          <w:rFonts w:ascii="Garamond" w:hAnsi="Garamond"/>
          <w:sz w:val="24"/>
          <w:szCs w:val="24"/>
        </w:rPr>
        <w:t>tiveness and exclusive use of the Starbucks Marks help Starbucks prove susceptibility to dilution by a</w:t>
      </w:r>
      <w:r w:rsidRPr="0071205E">
        <w:rPr>
          <w:rFonts w:ascii="Garamond" w:hAnsi="Garamond"/>
          <w:sz w:val="24"/>
          <w:szCs w:val="24"/>
        </w:rPr>
        <w:t>s</w:t>
      </w:r>
      <w:r w:rsidRPr="0071205E">
        <w:rPr>
          <w:rFonts w:ascii="Garamond" w:hAnsi="Garamond"/>
          <w:sz w:val="24"/>
          <w:szCs w:val="24"/>
        </w:rPr>
        <w:t>sociation arising from similarity between the Charbucks and Starbucks marks, they do not demonstrate that such an association is likely to arise, as Starbucks needed to show to obtain an injunction. Accor</w:t>
      </w:r>
      <w:r w:rsidRPr="0071205E">
        <w:rPr>
          <w:rFonts w:ascii="Garamond" w:hAnsi="Garamond"/>
          <w:sz w:val="24"/>
          <w:szCs w:val="24"/>
        </w:rPr>
        <w:t>d</w:t>
      </w:r>
      <w:r w:rsidRPr="0071205E">
        <w:rPr>
          <w:rFonts w:ascii="Garamond" w:hAnsi="Garamond"/>
          <w:sz w:val="24"/>
          <w:szCs w:val="24"/>
        </w:rPr>
        <w:t>ingly, these factors weigh only weakly in Starbucks' favor.</w:t>
      </w:r>
    </w:p>
    <w:p w14:paraId="6EA67C7C" w14:textId="17CA287C"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In this case, we attribute a moderate amount of significance to the fifth factor, intent to create an association. Clark's testimony indicated that Black Bear was capitalizing on an historic connection between the word "Charbucks" and "Starbucks," which arose out of the so-called "coffee-wars" in Bo</w:t>
      </w:r>
      <w:r w:rsidRPr="0071205E">
        <w:rPr>
          <w:rFonts w:ascii="Garamond" w:hAnsi="Garamond"/>
          <w:sz w:val="24"/>
          <w:szCs w:val="24"/>
        </w:rPr>
        <w:t>s</w:t>
      </w:r>
      <w:r w:rsidRPr="0071205E">
        <w:rPr>
          <w:rFonts w:ascii="Garamond" w:hAnsi="Garamond"/>
          <w:sz w:val="24"/>
          <w:szCs w:val="24"/>
        </w:rPr>
        <w:t>ton, Massachusetts, and that he "meant to evoke an im</w:t>
      </w:r>
      <w:r w:rsidR="00B45245">
        <w:rPr>
          <w:rFonts w:ascii="Garamond" w:hAnsi="Garamond"/>
          <w:sz w:val="24"/>
          <w:szCs w:val="24"/>
        </w:rPr>
        <w:t xml:space="preserve">age of </w:t>
      </w:r>
      <w:r w:rsidRPr="0071205E">
        <w:rPr>
          <w:rFonts w:ascii="Garamond" w:hAnsi="Garamond"/>
          <w:sz w:val="24"/>
          <w:szCs w:val="24"/>
        </w:rPr>
        <w:t>dark-roasted coffee o</w:t>
      </w:r>
      <w:r w:rsidR="00B45245">
        <w:rPr>
          <w:rFonts w:ascii="Garamond" w:hAnsi="Garamond"/>
          <w:sz w:val="24"/>
          <w:szCs w:val="24"/>
        </w:rPr>
        <w:t>f the type offered by Starbucks.</w:t>
      </w:r>
      <w:r w:rsidRPr="0071205E">
        <w:rPr>
          <w:rFonts w:ascii="Garamond" w:hAnsi="Garamond"/>
          <w:sz w:val="24"/>
          <w:szCs w:val="24"/>
        </w:rPr>
        <w:t>" "[W]here, as here, the allegedly diluting mark was created with an intent to associate with the famous mark," we agree with the District Court that this factor f</w:t>
      </w:r>
      <w:r w:rsidRPr="0071205E">
        <w:rPr>
          <w:rFonts w:ascii="Garamond" w:hAnsi="Garamond"/>
          <w:sz w:val="24"/>
          <w:szCs w:val="24"/>
        </w:rPr>
        <w:t>a</w:t>
      </w:r>
      <w:r w:rsidRPr="0071205E">
        <w:rPr>
          <w:rFonts w:ascii="Garamond" w:hAnsi="Garamond"/>
          <w:sz w:val="24"/>
          <w:szCs w:val="24"/>
        </w:rPr>
        <w:t>vors a finding of a likelihood of dil</w:t>
      </w:r>
      <w:r w:rsidRPr="0071205E">
        <w:rPr>
          <w:rFonts w:ascii="Garamond" w:hAnsi="Garamond"/>
          <w:sz w:val="24"/>
          <w:szCs w:val="24"/>
        </w:rPr>
        <w:t>u</w:t>
      </w:r>
      <w:r w:rsidRPr="0071205E">
        <w:rPr>
          <w:rFonts w:ascii="Garamond" w:hAnsi="Garamond"/>
          <w:sz w:val="24"/>
          <w:szCs w:val="24"/>
        </w:rPr>
        <w:t>tion.</w:t>
      </w:r>
    </w:p>
    <w:p w14:paraId="04029FC1" w14:textId="5F21D9D7" w:rsidR="0071205E" w:rsidRP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 xml:space="preserve">The final, disputed factor, actual association, is highly relevant to likelihood of association. In the analogous context of determining the "likelihood of confusion" for trademark infringement claims, we have noted that "[t]here can be no more positive or substantial proof of the likelihood of confusion than proof of actual confusion," even though a showing of actual  [*213]  confusion is not necessary to prevail on such a claim. </w:t>
      </w:r>
      <w:r w:rsidR="00E8150E">
        <w:rPr>
          <w:rFonts w:ascii="Garamond" w:hAnsi="Garamond"/>
          <w:sz w:val="24"/>
          <w:szCs w:val="24"/>
        </w:rPr>
        <w:t xml:space="preserve"> </w:t>
      </w:r>
      <w:r w:rsidRPr="0071205E">
        <w:rPr>
          <w:rFonts w:ascii="Garamond" w:hAnsi="Garamond"/>
          <w:sz w:val="24"/>
          <w:szCs w:val="24"/>
        </w:rPr>
        <w:t>The same principle obtains with respect to proof of actual association in dil</w:t>
      </w:r>
      <w:r w:rsidRPr="0071205E">
        <w:rPr>
          <w:rFonts w:ascii="Garamond" w:hAnsi="Garamond"/>
          <w:sz w:val="24"/>
          <w:szCs w:val="24"/>
        </w:rPr>
        <w:t>u</w:t>
      </w:r>
      <w:r w:rsidRPr="0071205E">
        <w:rPr>
          <w:rFonts w:ascii="Garamond" w:hAnsi="Garamond"/>
          <w:sz w:val="24"/>
          <w:szCs w:val="24"/>
        </w:rPr>
        <w:t>tion claims. And as noted, the Mitofsky survey demonstrated weak actual association, at best.</w:t>
      </w:r>
    </w:p>
    <w:p w14:paraId="73B76895" w14:textId="375CBF22" w:rsidR="0071205E" w:rsidRDefault="0071205E" w:rsidP="0071205E">
      <w:pPr>
        <w:widowControl/>
        <w:spacing w:after="120"/>
        <w:ind w:firstLine="720"/>
        <w:jc w:val="both"/>
        <w:rPr>
          <w:rFonts w:ascii="Garamond" w:hAnsi="Garamond"/>
          <w:sz w:val="24"/>
          <w:szCs w:val="24"/>
        </w:rPr>
      </w:pPr>
      <w:r w:rsidRPr="0071205E">
        <w:rPr>
          <w:rFonts w:ascii="Garamond" w:hAnsi="Garamond"/>
          <w:sz w:val="24"/>
          <w:szCs w:val="24"/>
        </w:rPr>
        <w:t>Weighing the factors above de novo, we agree with the District</w:t>
      </w:r>
      <w:r w:rsidR="00E8150E">
        <w:rPr>
          <w:rFonts w:ascii="Garamond" w:hAnsi="Garamond"/>
          <w:sz w:val="24"/>
          <w:szCs w:val="24"/>
        </w:rPr>
        <w:t xml:space="preserve"> Court </w:t>
      </w:r>
      <w:r w:rsidRPr="0071205E">
        <w:rPr>
          <w:rFonts w:ascii="Garamond" w:hAnsi="Garamond"/>
          <w:sz w:val="24"/>
          <w:szCs w:val="24"/>
        </w:rPr>
        <w:t>that Starbucks did not demonstrate a likelihood of dilution by blurring. Ultimately what tips the balance in this case is that Starbucks bore the burden of showing that it was entitled to injunctive relief on this record. Because Starbucks' principal evidence of association, the Mitofsky survey, was fundamentally flawed, and b</w:t>
      </w:r>
      <w:r w:rsidRPr="0071205E">
        <w:rPr>
          <w:rFonts w:ascii="Garamond" w:hAnsi="Garamond"/>
          <w:sz w:val="24"/>
          <w:szCs w:val="24"/>
        </w:rPr>
        <w:t>e</w:t>
      </w:r>
      <w:r w:rsidRPr="0071205E">
        <w:rPr>
          <w:rFonts w:ascii="Garamond" w:hAnsi="Garamond"/>
          <w:sz w:val="24"/>
          <w:szCs w:val="24"/>
        </w:rPr>
        <w:t>cause there was minimal similarity between the marks at issue, we agree with the District Court that Starbucks failed to show that Black Bear's use of its Charbucks Marks in commerce is likely to dilute the Starbucks Marks.</w:t>
      </w:r>
    </w:p>
    <w:p w14:paraId="14BACC85" w14:textId="77777777" w:rsidR="00271898" w:rsidRPr="0071205E" w:rsidRDefault="00271898" w:rsidP="0071205E">
      <w:pPr>
        <w:widowControl/>
        <w:spacing w:after="120"/>
        <w:ind w:firstLine="720"/>
        <w:jc w:val="both"/>
        <w:rPr>
          <w:rFonts w:ascii="Garamond" w:hAnsi="Garamond"/>
          <w:sz w:val="24"/>
          <w:szCs w:val="24"/>
        </w:rPr>
      </w:pPr>
      <w:bookmarkStart w:id="0" w:name="_GoBack"/>
      <w:bookmarkEnd w:id="0"/>
    </w:p>
    <w:p w14:paraId="0C4487D7" w14:textId="26F380BC" w:rsidR="0071205E" w:rsidRPr="0071205E" w:rsidRDefault="00E8150E" w:rsidP="00E8150E">
      <w:pPr>
        <w:widowControl/>
        <w:spacing w:after="120"/>
        <w:jc w:val="center"/>
        <w:outlineLvl w:val="0"/>
        <w:rPr>
          <w:rFonts w:ascii="Garamond" w:hAnsi="Garamond"/>
          <w:sz w:val="24"/>
          <w:szCs w:val="24"/>
        </w:rPr>
      </w:pPr>
      <w:r>
        <w:rPr>
          <w:rFonts w:ascii="Garamond" w:hAnsi="Garamond"/>
          <w:b/>
          <w:bCs/>
          <w:sz w:val="24"/>
          <w:szCs w:val="24"/>
        </w:rPr>
        <w:t>Conclusion</w:t>
      </w:r>
    </w:p>
    <w:p w14:paraId="16E6AE47" w14:textId="7C8AAB53" w:rsidR="0071205E" w:rsidRPr="0071205E" w:rsidRDefault="0071205E" w:rsidP="0071205E">
      <w:pPr>
        <w:widowControl/>
        <w:spacing w:after="120"/>
        <w:ind w:firstLine="720"/>
        <w:jc w:val="both"/>
        <w:rPr>
          <w:rFonts w:ascii="Garamond" w:hAnsi="Garamond"/>
          <w:sz w:val="24"/>
          <w:szCs w:val="24"/>
        </w:rPr>
        <w:sectPr w:rsidR="0071205E" w:rsidRPr="0071205E">
          <w:headerReference w:type="default" r:id="rId7"/>
          <w:footerReference w:type="even" r:id="rId8"/>
          <w:footerReference w:type="default" r:id="rId9"/>
          <w:type w:val="continuous"/>
          <w:pgSz w:w="12240" w:h="15840"/>
          <w:pgMar w:top="1728" w:right="1296" w:bottom="1296" w:left="1296" w:header="720" w:footer="720" w:gutter="0"/>
          <w:cols w:space="720"/>
          <w:noEndnote/>
        </w:sectPr>
      </w:pPr>
      <w:r w:rsidRPr="0071205E">
        <w:rPr>
          <w:rFonts w:ascii="Garamond" w:hAnsi="Garamond"/>
          <w:sz w:val="24"/>
          <w:szCs w:val="24"/>
        </w:rPr>
        <w:t xml:space="preserve">We have considered all of Starbucks' contentions on </w:t>
      </w:r>
      <w:r w:rsidR="00E8150E">
        <w:rPr>
          <w:rFonts w:ascii="Garamond" w:hAnsi="Garamond"/>
          <w:sz w:val="24"/>
          <w:szCs w:val="24"/>
        </w:rPr>
        <w:t xml:space="preserve">this appeal and have concluded </w:t>
      </w:r>
      <w:r w:rsidRPr="0071205E">
        <w:rPr>
          <w:rFonts w:ascii="Garamond" w:hAnsi="Garamond"/>
          <w:sz w:val="24"/>
          <w:szCs w:val="24"/>
        </w:rPr>
        <w:t>that they are without merit. For the foregoing reasons, we AFFIRM the judgment of the District Court.</w:t>
      </w:r>
    </w:p>
    <w:p w14:paraId="2AB8A7B8" w14:textId="77777777" w:rsidR="0071205E" w:rsidRPr="0071205E" w:rsidRDefault="0071205E" w:rsidP="0071205E">
      <w:pPr>
        <w:widowControl/>
        <w:spacing w:after="120"/>
        <w:ind w:firstLine="720"/>
        <w:jc w:val="both"/>
        <w:rPr>
          <w:rFonts w:ascii="Garamond" w:hAnsi="Garamond"/>
          <w:sz w:val="24"/>
          <w:szCs w:val="24"/>
        </w:rPr>
      </w:pPr>
    </w:p>
    <w:sectPr w:rsidR="0071205E" w:rsidRPr="0071205E">
      <w:headerReference w:type="default" r:id="rId10"/>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08BBA" w14:textId="77777777" w:rsidR="000E7086" w:rsidRDefault="000E7086">
      <w:r>
        <w:separator/>
      </w:r>
    </w:p>
  </w:endnote>
  <w:endnote w:type="continuationSeparator" w:id="0">
    <w:p w14:paraId="0215D121" w14:textId="77777777" w:rsidR="000E7086" w:rsidRDefault="000E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832A" w14:textId="77777777" w:rsidR="000E7086" w:rsidRDefault="000E7086" w:rsidP="00405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6EC2D" w14:textId="77777777" w:rsidR="000E7086" w:rsidRDefault="000E70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8353" w14:textId="77777777" w:rsidR="000E7086" w:rsidRDefault="000E7086" w:rsidP="00405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898">
      <w:rPr>
        <w:rStyle w:val="PageNumber"/>
        <w:noProof/>
      </w:rPr>
      <w:t>1</w:t>
    </w:r>
    <w:r>
      <w:rPr>
        <w:rStyle w:val="PageNumber"/>
      </w:rPr>
      <w:fldChar w:fldCharType="end"/>
    </w:r>
  </w:p>
  <w:p w14:paraId="7B002FD2" w14:textId="77777777" w:rsidR="000E7086" w:rsidRDefault="000E7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71417" w14:textId="77777777" w:rsidR="000E7086" w:rsidRDefault="000E7086">
      <w:r>
        <w:separator/>
      </w:r>
    </w:p>
  </w:footnote>
  <w:footnote w:type="continuationSeparator" w:id="0">
    <w:p w14:paraId="123F7D87" w14:textId="77777777" w:rsidR="000E7086" w:rsidRDefault="000E7086">
      <w:r>
        <w:continuationSeparator/>
      </w:r>
    </w:p>
  </w:footnote>
  <w:footnote w:id="1">
    <w:p w14:paraId="41B6BC65" w14:textId="77777777"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Starbucks also asserted claims of trademark infringement in violation of 15 U.S.C. ß 1114(1); unfair competition in viol</w:t>
      </w:r>
      <w:r w:rsidRPr="00F11DFD">
        <w:rPr>
          <w:rFonts w:ascii="Garamond" w:hAnsi="Garamond"/>
          <w:sz w:val="20"/>
          <w:szCs w:val="20"/>
        </w:rPr>
        <w:t>a</w:t>
      </w:r>
      <w:r w:rsidRPr="00F11DFD">
        <w:rPr>
          <w:rFonts w:ascii="Garamond" w:hAnsi="Garamond"/>
          <w:sz w:val="20"/>
          <w:szCs w:val="20"/>
        </w:rPr>
        <w:t>tion of 15 U.S.C. ß 1125(a); trademark dilution in violation of New York General Business Law ß 360-</w:t>
      </w:r>
      <w:r w:rsidRPr="00F11DFD">
        <w:rPr>
          <w:rFonts w:ascii="Garamond" w:hAnsi="Garamond"/>
          <w:i/>
          <w:iCs/>
          <w:sz w:val="20"/>
          <w:szCs w:val="20"/>
        </w:rPr>
        <w:t>l</w:t>
      </w:r>
      <w:r w:rsidRPr="00F11DFD">
        <w:rPr>
          <w:rFonts w:ascii="Garamond" w:hAnsi="Garamond"/>
          <w:sz w:val="20"/>
          <w:szCs w:val="20"/>
        </w:rPr>
        <w:t>; deceptive acts and business practi</w:t>
      </w:r>
      <w:r w:rsidRPr="00F11DFD">
        <w:rPr>
          <w:rFonts w:ascii="Garamond" w:hAnsi="Garamond"/>
          <w:sz w:val="20"/>
          <w:szCs w:val="20"/>
        </w:rPr>
        <w:t>c</w:t>
      </w:r>
      <w:r w:rsidRPr="00F11DFD">
        <w:rPr>
          <w:rFonts w:ascii="Garamond" w:hAnsi="Garamond"/>
          <w:sz w:val="20"/>
          <w:szCs w:val="20"/>
        </w:rPr>
        <w:t>es and false advertising in violation of New York General Business Law ßß 349, 350; and unfair competition in violation of New York common law. All of these claims were dismissed during the course of this suit and are not the subject of this appeal.</w:t>
      </w:r>
    </w:p>
  </w:footnote>
  <w:footnote w:id="2">
    <w:p w14:paraId="1D5EFEE3" w14:textId="648ED0CC"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The Coffee Connection apparently no longer exists as an indepen</w:t>
      </w:r>
      <w:r w:rsidRPr="00F11DFD">
        <w:rPr>
          <w:rFonts w:ascii="Garamond" w:hAnsi="Garamond"/>
          <w:sz w:val="20"/>
          <w:szCs w:val="20"/>
        </w:rPr>
        <w:t>d</w:t>
      </w:r>
      <w:r w:rsidRPr="00F11DFD">
        <w:rPr>
          <w:rFonts w:ascii="Garamond" w:hAnsi="Garamond"/>
          <w:sz w:val="20"/>
          <w:szCs w:val="20"/>
        </w:rPr>
        <w:t>ent company. See Starbucks Plans to Acquire Coffee Connection, New York Times (March 16, 1994), available at http://www.nytimes.com/1994/03/16/business/company-news-starbucks-plans-to-acquire-coffee-connection.html.</w:t>
      </w:r>
    </w:p>
  </w:footnote>
  <w:footnote w:id="3">
    <w:p w14:paraId="1E00214B" w14:textId="22FD1D0E"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Other common responses included "barbeque" or "charcoal" (7.9 percent); "restaurant" or "grill" (7.5 percent); "meat," "steak," or "hamburger" (4.6 percent); and "money" (3.9 percent).</w:t>
      </w:r>
    </w:p>
  </w:footnote>
  <w:footnote w:id="4">
    <w:p w14:paraId="5DDA4239" w14:textId="6774787E"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More popular responses to this second question included: "grocery store" (18.3 percent); "discount store" (16.9 percent); "restaurant" (7.0 percent); "department store" (4.8 percent); and "hardware store" or "home improvement store" (3.7 pe</w:t>
      </w:r>
      <w:r w:rsidRPr="00F11DFD">
        <w:rPr>
          <w:rFonts w:ascii="Garamond" w:hAnsi="Garamond"/>
          <w:sz w:val="20"/>
          <w:szCs w:val="20"/>
        </w:rPr>
        <w:t>r</w:t>
      </w:r>
      <w:r w:rsidRPr="00F11DFD">
        <w:rPr>
          <w:rFonts w:ascii="Garamond" w:hAnsi="Garamond"/>
          <w:sz w:val="20"/>
          <w:szCs w:val="20"/>
        </w:rPr>
        <w:t>cent).</w:t>
      </w:r>
    </w:p>
  </w:footnote>
  <w:footnote w:id="5">
    <w:p w14:paraId="614DFE16" w14:textId="0197E202"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At the time, federal law provided: "The owner of a famous mark shall be entitled . . . to an injunction against another pe</w:t>
      </w:r>
      <w:r w:rsidRPr="00F11DFD">
        <w:rPr>
          <w:rFonts w:ascii="Garamond" w:hAnsi="Garamond"/>
          <w:sz w:val="20"/>
          <w:szCs w:val="20"/>
        </w:rPr>
        <w:t>r</w:t>
      </w:r>
      <w:r w:rsidRPr="00F11DFD">
        <w:rPr>
          <w:rFonts w:ascii="Garamond" w:hAnsi="Garamond"/>
          <w:sz w:val="20"/>
          <w:szCs w:val="20"/>
        </w:rPr>
        <w:t>son's commercial use in commerce of a mark or trade name, if such use begins after the mark has become famous and cau</w:t>
      </w:r>
      <w:r w:rsidRPr="00F11DFD">
        <w:rPr>
          <w:rFonts w:ascii="Garamond" w:hAnsi="Garamond"/>
          <w:sz w:val="20"/>
          <w:szCs w:val="20"/>
        </w:rPr>
        <w:t>s</w:t>
      </w:r>
      <w:r w:rsidRPr="00F11DFD">
        <w:rPr>
          <w:rFonts w:ascii="Garamond" w:hAnsi="Garamond"/>
          <w:sz w:val="20"/>
          <w:szCs w:val="20"/>
        </w:rPr>
        <w:t>es dilution of the distinctive quality of the mark . . . ." 15 U.S.C. ß 1125(c)(1) (1999) (amended 2006) (emphasis added).</w:t>
      </w:r>
    </w:p>
  </w:footnote>
  <w:footnote w:id="6">
    <w:p w14:paraId="27E5FC84" w14:textId="56CF6824"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The legislative history of a failed earlier version of the FTDA strongly suggests that the law was "specifically intended" to come into play "where the unauthorized use by others, on dissimilar products for which the trademark is not registered, dilutes the distinctiveness of [a] famous work." Sen. Judiciary Comm. Rep. on S. 1883, S. Rep. No. 100-515, at 7 (citing e</w:t>
      </w:r>
      <w:r w:rsidRPr="00F11DFD">
        <w:rPr>
          <w:rFonts w:ascii="Garamond" w:hAnsi="Garamond"/>
          <w:sz w:val="20"/>
          <w:szCs w:val="20"/>
        </w:rPr>
        <w:t>x</w:t>
      </w:r>
      <w:r w:rsidRPr="00F11DFD">
        <w:rPr>
          <w:rFonts w:ascii="Garamond" w:hAnsi="Garamond"/>
          <w:sz w:val="20"/>
          <w:szCs w:val="20"/>
        </w:rPr>
        <w:t>amples of Kodak pianos and Buick aspirin); see McCarthy ß 24:96 ("[T]o the extent that the language is the same," the Se</w:t>
      </w:r>
      <w:r w:rsidRPr="00F11DFD">
        <w:rPr>
          <w:rFonts w:ascii="Garamond" w:hAnsi="Garamond"/>
          <w:sz w:val="20"/>
          <w:szCs w:val="20"/>
        </w:rPr>
        <w:t>n</w:t>
      </w:r>
      <w:r w:rsidRPr="00F11DFD">
        <w:rPr>
          <w:rFonts w:ascii="Garamond" w:hAnsi="Garamond"/>
          <w:sz w:val="20"/>
          <w:szCs w:val="20"/>
        </w:rPr>
        <w:t>ate Judiciary Report of 1988 "provide[s] useful legislative history for interpreting the [FTDA] as well as parts of its succe</w:t>
      </w:r>
      <w:r w:rsidRPr="00F11DFD">
        <w:rPr>
          <w:rFonts w:ascii="Garamond" w:hAnsi="Garamond"/>
          <w:sz w:val="20"/>
          <w:szCs w:val="20"/>
        </w:rPr>
        <w:t>s</w:t>
      </w:r>
      <w:r w:rsidRPr="00F11DFD">
        <w:rPr>
          <w:rFonts w:ascii="Garamond" w:hAnsi="Garamond"/>
          <w:sz w:val="20"/>
          <w:szCs w:val="20"/>
        </w:rPr>
        <w:t>sor, the [TDRA]").</w:t>
      </w:r>
    </w:p>
  </w:footnote>
  <w:footnote w:id="7">
    <w:p w14:paraId="571E457F" w14:textId="2E844C89"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We employ the same standard here that we use in the context of trademark infringement, where a district court evaluates and then balances the eight factors set forth in Polaroid Corp. v. Polarad Electronics Corp., 287 F.2d 492, 495 (2d Cir. 1961), to determine whether there is a likelihood of confusion. The statutory factors enumerated in ß 1125(c)(2)(B) are sim</w:t>
      </w:r>
      <w:r w:rsidRPr="00F11DFD">
        <w:rPr>
          <w:rFonts w:ascii="Garamond" w:hAnsi="Garamond"/>
          <w:sz w:val="20"/>
          <w:szCs w:val="20"/>
        </w:rPr>
        <w:t>i</w:t>
      </w:r>
      <w:r w:rsidRPr="00F11DFD">
        <w:rPr>
          <w:rFonts w:ascii="Garamond" w:hAnsi="Garamond"/>
          <w:sz w:val="20"/>
          <w:szCs w:val="20"/>
        </w:rPr>
        <w:t>lar in kind to the Polaroid factors. For e</w:t>
      </w:r>
      <w:r w:rsidRPr="00F11DFD">
        <w:rPr>
          <w:rFonts w:ascii="Garamond" w:hAnsi="Garamond"/>
          <w:sz w:val="20"/>
          <w:szCs w:val="20"/>
        </w:rPr>
        <w:t>x</w:t>
      </w:r>
      <w:r w:rsidRPr="00F11DFD">
        <w:rPr>
          <w:rFonts w:ascii="Garamond" w:hAnsi="Garamond"/>
          <w:sz w:val="20"/>
          <w:szCs w:val="20"/>
        </w:rPr>
        <w:t>ample, both lists include the "similarity between" the two marks; "strength" of the mark in Polaroid is akin to "distinctiveness" in ß 1125; and "actual confusion" in Polaroid mi</w:t>
      </w:r>
      <w:r w:rsidRPr="00F11DFD">
        <w:rPr>
          <w:rFonts w:ascii="Garamond" w:hAnsi="Garamond"/>
          <w:sz w:val="20"/>
          <w:szCs w:val="20"/>
        </w:rPr>
        <w:t>r</w:t>
      </w:r>
      <w:r w:rsidRPr="00F11DFD">
        <w:rPr>
          <w:rFonts w:ascii="Garamond" w:hAnsi="Garamond"/>
          <w:sz w:val="20"/>
          <w:szCs w:val="20"/>
        </w:rPr>
        <w:t xml:space="preserve">rors "actual association" in ß 1125. </w:t>
      </w:r>
    </w:p>
  </w:footnote>
  <w:footnote w:id="8">
    <w:p w14:paraId="2A97BD03" w14:textId="09497473"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Both that question and the question discussed in Jada Toys test not merely association but also source confusion. Source confusion may be probative  [**34] of association, because to confuse Cha</w:t>
      </w:r>
      <w:r w:rsidRPr="00F11DFD">
        <w:rPr>
          <w:rFonts w:ascii="Garamond" w:hAnsi="Garamond"/>
          <w:sz w:val="20"/>
          <w:szCs w:val="20"/>
        </w:rPr>
        <w:t>r</w:t>
      </w:r>
      <w:r w:rsidRPr="00F11DFD">
        <w:rPr>
          <w:rFonts w:ascii="Garamond" w:hAnsi="Garamond"/>
          <w:sz w:val="20"/>
          <w:szCs w:val="20"/>
        </w:rPr>
        <w:t>bucks with Starbucks, the word "Charbucks" must call "Starbucks" to mind. See Nabisco, 191 F.3d at 221 ("Confusion lessens distin</w:t>
      </w:r>
      <w:r w:rsidRPr="00F11DFD">
        <w:rPr>
          <w:rFonts w:ascii="Garamond" w:hAnsi="Garamond"/>
          <w:sz w:val="20"/>
          <w:szCs w:val="20"/>
        </w:rPr>
        <w:t>c</w:t>
      </w:r>
      <w:r w:rsidRPr="00F11DFD">
        <w:rPr>
          <w:rFonts w:ascii="Garamond" w:hAnsi="Garamond"/>
          <w:sz w:val="20"/>
          <w:szCs w:val="20"/>
        </w:rPr>
        <w:t>tion.").</w:t>
      </w:r>
    </w:p>
  </w:footnote>
  <w:footnote w:id="9">
    <w:p w14:paraId="2C96E235" w14:textId="0F6DDB73" w:rsidR="000E7086" w:rsidRPr="00F11DFD" w:rsidRDefault="000E7086"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Although some other respondents gave answers consistent with an association with Starbucks--18.3 percent answered "grocery store," 16.9 percent answered "discount store," 7 percent answered "restaurant," and 4.8 percent answered "d</w:t>
      </w:r>
      <w:r w:rsidRPr="00F11DFD">
        <w:rPr>
          <w:rFonts w:ascii="Garamond" w:hAnsi="Garamond"/>
          <w:sz w:val="20"/>
          <w:szCs w:val="20"/>
        </w:rPr>
        <w:t>e</w:t>
      </w:r>
      <w:r w:rsidRPr="00F11DFD">
        <w:rPr>
          <w:rFonts w:ascii="Garamond" w:hAnsi="Garamond"/>
          <w:sz w:val="20"/>
          <w:szCs w:val="20"/>
        </w:rPr>
        <w:t>partment store"--these r</w:t>
      </w:r>
      <w:r w:rsidRPr="00F11DFD">
        <w:rPr>
          <w:rFonts w:ascii="Garamond" w:hAnsi="Garamond"/>
          <w:sz w:val="20"/>
          <w:szCs w:val="20"/>
        </w:rPr>
        <w:t>e</w:t>
      </w:r>
      <w:r w:rsidRPr="00F11DFD">
        <w:rPr>
          <w:rFonts w:ascii="Garamond" w:hAnsi="Garamond"/>
          <w:sz w:val="20"/>
          <w:szCs w:val="20"/>
        </w:rPr>
        <w:t>sponses are also consistent with other views of what "Charbucks" could be, including meat or a charcoal grilling product, as 38.5 percent of respondents suggested.</w:t>
      </w:r>
    </w:p>
  </w:footnote>
  <w:footnote w:id="10">
    <w:p w14:paraId="2B98B847" w14:textId="7E2736F5" w:rsidR="000D62FF" w:rsidRPr="00F11DFD" w:rsidRDefault="000D62FF" w:rsidP="00F11DFD">
      <w:pPr>
        <w:pStyle w:val="FootnoteText"/>
        <w:spacing w:after="60"/>
        <w:jc w:val="both"/>
        <w:rPr>
          <w:rFonts w:ascii="Garamond" w:hAnsi="Garamond"/>
          <w:sz w:val="20"/>
          <w:szCs w:val="20"/>
        </w:rPr>
      </w:pPr>
      <w:r w:rsidRPr="00F11DFD">
        <w:rPr>
          <w:rStyle w:val="FootnoteReference"/>
          <w:rFonts w:ascii="Garamond" w:hAnsi="Garamond"/>
          <w:sz w:val="20"/>
          <w:szCs w:val="20"/>
        </w:rPr>
        <w:footnoteRef/>
      </w:r>
      <w:r w:rsidRPr="00F11DFD">
        <w:rPr>
          <w:rFonts w:ascii="Garamond" w:hAnsi="Garamond"/>
          <w:sz w:val="20"/>
          <w:szCs w:val="20"/>
        </w:rPr>
        <w:t xml:space="preserve"> </w:t>
      </w:r>
      <w:r w:rsidRPr="00F11DFD">
        <w:rPr>
          <w:rFonts w:ascii="Garamond" w:hAnsi="Garamond"/>
          <w:sz w:val="20"/>
          <w:szCs w:val="20"/>
        </w:rPr>
        <w:t>Of course, in Starbucks IV, we rejected a per se or threshold requirement of "substantial similarity" between the marks at issue in federal dilution actions. 588 F.3d at 108-09. In doing so, however, we did not suggest that a finding of minimal sim</w:t>
      </w:r>
      <w:r w:rsidRPr="00F11DFD">
        <w:rPr>
          <w:rFonts w:ascii="Garamond" w:hAnsi="Garamond"/>
          <w:sz w:val="20"/>
          <w:szCs w:val="20"/>
        </w:rPr>
        <w:t>i</w:t>
      </w:r>
      <w:r w:rsidRPr="00F11DFD">
        <w:rPr>
          <w:rFonts w:ascii="Garamond" w:hAnsi="Garamond"/>
          <w:sz w:val="20"/>
          <w:szCs w:val="20"/>
        </w:rPr>
        <w:t>larity could not be highly probative of the likelihood of dil</w:t>
      </w:r>
      <w:r w:rsidRPr="00F11DFD">
        <w:rPr>
          <w:rFonts w:ascii="Garamond" w:hAnsi="Garamond"/>
          <w:sz w:val="20"/>
          <w:szCs w:val="20"/>
        </w:rPr>
        <w:t>u</w:t>
      </w:r>
      <w:r w:rsidRPr="00F11DFD">
        <w:rPr>
          <w:rFonts w:ascii="Garamond" w:hAnsi="Garamond"/>
          <w:sz w:val="20"/>
          <w:szCs w:val="20"/>
        </w:rPr>
        <w:t>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7E19" w14:textId="77777777" w:rsidR="000E7086" w:rsidRDefault="000E7086">
    <w:pPr>
      <w:widowControl/>
      <w:suppressAutoHyphens/>
      <w:jc w:val="center"/>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9389" w14:textId="77777777" w:rsidR="000E7086" w:rsidRDefault="000E7086">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DC"/>
    <w:rsid w:val="000D62FF"/>
    <w:rsid w:val="000E7086"/>
    <w:rsid w:val="00271898"/>
    <w:rsid w:val="003E5114"/>
    <w:rsid w:val="003E6FDD"/>
    <w:rsid w:val="0040516D"/>
    <w:rsid w:val="00521E86"/>
    <w:rsid w:val="00531CDC"/>
    <w:rsid w:val="00555ADC"/>
    <w:rsid w:val="0069681E"/>
    <w:rsid w:val="0071205E"/>
    <w:rsid w:val="0071299C"/>
    <w:rsid w:val="00903764"/>
    <w:rsid w:val="009D3AE6"/>
    <w:rsid w:val="00B43754"/>
    <w:rsid w:val="00B45245"/>
    <w:rsid w:val="00B53179"/>
    <w:rsid w:val="00D22839"/>
    <w:rsid w:val="00D52730"/>
    <w:rsid w:val="00E8150E"/>
    <w:rsid w:val="00EC4A13"/>
    <w:rsid w:val="00F11DFD"/>
    <w:rsid w:val="00F41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57641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ADC"/>
    <w:rPr>
      <w:rFonts w:ascii="Lucida Grande" w:hAnsi="Lucida Grande" w:cs="Lucida Grande"/>
      <w:sz w:val="18"/>
      <w:szCs w:val="18"/>
    </w:rPr>
  </w:style>
  <w:style w:type="paragraph" w:styleId="Header">
    <w:name w:val="header"/>
    <w:basedOn w:val="Normal"/>
    <w:link w:val="HeaderChar"/>
    <w:uiPriority w:val="99"/>
    <w:unhideWhenUsed/>
    <w:rsid w:val="00903764"/>
    <w:pPr>
      <w:tabs>
        <w:tab w:val="center" w:pos="4320"/>
        <w:tab w:val="right" w:pos="8640"/>
      </w:tabs>
    </w:pPr>
  </w:style>
  <w:style w:type="character" w:customStyle="1" w:styleId="HeaderChar">
    <w:name w:val="Header Char"/>
    <w:basedOn w:val="DefaultParagraphFont"/>
    <w:link w:val="Header"/>
    <w:uiPriority w:val="99"/>
    <w:rsid w:val="00903764"/>
    <w:rPr>
      <w:rFonts w:ascii="Courier" w:hAnsi="Courier"/>
    </w:rPr>
  </w:style>
  <w:style w:type="paragraph" w:styleId="Footer">
    <w:name w:val="footer"/>
    <w:basedOn w:val="Normal"/>
    <w:link w:val="FooterChar"/>
    <w:uiPriority w:val="99"/>
    <w:unhideWhenUsed/>
    <w:rsid w:val="00903764"/>
    <w:pPr>
      <w:tabs>
        <w:tab w:val="center" w:pos="4320"/>
        <w:tab w:val="right" w:pos="8640"/>
      </w:tabs>
    </w:pPr>
  </w:style>
  <w:style w:type="character" w:customStyle="1" w:styleId="FooterChar">
    <w:name w:val="Footer Char"/>
    <w:basedOn w:val="DefaultParagraphFont"/>
    <w:link w:val="Footer"/>
    <w:uiPriority w:val="99"/>
    <w:rsid w:val="00903764"/>
    <w:rPr>
      <w:rFonts w:ascii="Courier" w:hAnsi="Courier"/>
    </w:rPr>
  </w:style>
  <w:style w:type="paragraph" w:styleId="FootnoteText">
    <w:name w:val="footnote text"/>
    <w:basedOn w:val="Normal"/>
    <w:link w:val="FootnoteTextChar"/>
    <w:uiPriority w:val="99"/>
    <w:unhideWhenUsed/>
    <w:rsid w:val="00903764"/>
    <w:rPr>
      <w:sz w:val="24"/>
      <w:szCs w:val="24"/>
    </w:rPr>
  </w:style>
  <w:style w:type="character" w:customStyle="1" w:styleId="FootnoteTextChar">
    <w:name w:val="Footnote Text Char"/>
    <w:basedOn w:val="DefaultParagraphFont"/>
    <w:link w:val="FootnoteText"/>
    <w:uiPriority w:val="99"/>
    <w:rsid w:val="00903764"/>
    <w:rPr>
      <w:rFonts w:ascii="Courier" w:hAnsi="Courier"/>
      <w:sz w:val="24"/>
      <w:szCs w:val="24"/>
    </w:rPr>
  </w:style>
  <w:style w:type="character" w:styleId="FootnoteReference">
    <w:name w:val="footnote reference"/>
    <w:basedOn w:val="DefaultParagraphFont"/>
    <w:uiPriority w:val="99"/>
    <w:unhideWhenUsed/>
    <w:rsid w:val="00903764"/>
    <w:rPr>
      <w:vertAlign w:val="superscript"/>
    </w:rPr>
  </w:style>
  <w:style w:type="character" w:styleId="PageNumber">
    <w:name w:val="page number"/>
    <w:basedOn w:val="DefaultParagraphFont"/>
    <w:uiPriority w:val="99"/>
    <w:semiHidden/>
    <w:unhideWhenUsed/>
    <w:rsid w:val="004051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ADC"/>
    <w:rPr>
      <w:rFonts w:ascii="Lucida Grande" w:hAnsi="Lucida Grande" w:cs="Lucida Grande"/>
      <w:sz w:val="18"/>
      <w:szCs w:val="18"/>
    </w:rPr>
  </w:style>
  <w:style w:type="paragraph" w:styleId="Header">
    <w:name w:val="header"/>
    <w:basedOn w:val="Normal"/>
    <w:link w:val="HeaderChar"/>
    <w:uiPriority w:val="99"/>
    <w:unhideWhenUsed/>
    <w:rsid w:val="00903764"/>
    <w:pPr>
      <w:tabs>
        <w:tab w:val="center" w:pos="4320"/>
        <w:tab w:val="right" w:pos="8640"/>
      </w:tabs>
    </w:pPr>
  </w:style>
  <w:style w:type="character" w:customStyle="1" w:styleId="HeaderChar">
    <w:name w:val="Header Char"/>
    <w:basedOn w:val="DefaultParagraphFont"/>
    <w:link w:val="Header"/>
    <w:uiPriority w:val="99"/>
    <w:rsid w:val="00903764"/>
    <w:rPr>
      <w:rFonts w:ascii="Courier" w:hAnsi="Courier"/>
    </w:rPr>
  </w:style>
  <w:style w:type="paragraph" w:styleId="Footer">
    <w:name w:val="footer"/>
    <w:basedOn w:val="Normal"/>
    <w:link w:val="FooterChar"/>
    <w:uiPriority w:val="99"/>
    <w:unhideWhenUsed/>
    <w:rsid w:val="00903764"/>
    <w:pPr>
      <w:tabs>
        <w:tab w:val="center" w:pos="4320"/>
        <w:tab w:val="right" w:pos="8640"/>
      </w:tabs>
    </w:pPr>
  </w:style>
  <w:style w:type="character" w:customStyle="1" w:styleId="FooterChar">
    <w:name w:val="Footer Char"/>
    <w:basedOn w:val="DefaultParagraphFont"/>
    <w:link w:val="Footer"/>
    <w:uiPriority w:val="99"/>
    <w:rsid w:val="00903764"/>
    <w:rPr>
      <w:rFonts w:ascii="Courier" w:hAnsi="Courier"/>
    </w:rPr>
  </w:style>
  <w:style w:type="paragraph" w:styleId="FootnoteText">
    <w:name w:val="footnote text"/>
    <w:basedOn w:val="Normal"/>
    <w:link w:val="FootnoteTextChar"/>
    <w:uiPriority w:val="99"/>
    <w:unhideWhenUsed/>
    <w:rsid w:val="00903764"/>
    <w:rPr>
      <w:sz w:val="24"/>
      <w:szCs w:val="24"/>
    </w:rPr>
  </w:style>
  <w:style w:type="character" w:customStyle="1" w:styleId="FootnoteTextChar">
    <w:name w:val="Footnote Text Char"/>
    <w:basedOn w:val="DefaultParagraphFont"/>
    <w:link w:val="FootnoteText"/>
    <w:uiPriority w:val="99"/>
    <w:rsid w:val="00903764"/>
    <w:rPr>
      <w:rFonts w:ascii="Courier" w:hAnsi="Courier"/>
      <w:sz w:val="24"/>
      <w:szCs w:val="24"/>
    </w:rPr>
  </w:style>
  <w:style w:type="character" w:styleId="FootnoteReference">
    <w:name w:val="footnote reference"/>
    <w:basedOn w:val="DefaultParagraphFont"/>
    <w:uiPriority w:val="99"/>
    <w:unhideWhenUsed/>
    <w:rsid w:val="00903764"/>
    <w:rPr>
      <w:vertAlign w:val="superscript"/>
    </w:rPr>
  </w:style>
  <w:style w:type="character" w:styleId="PageNumber">
    <w:name w:val="page number"/>
    <w:basedOn w:val="DefaultParagraphFont"/>
    <w:uiPriority w:val="99"/>
    <w:semiHidden/>
    <w:unhideWhenUsed/>
    <w:rsid w:val="0040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5301</Words>
  <Characters>30221</Characters>
  <Application>Microsoft Macintosh Word</Application>
  <DocSecurity>0</DocSecurity>
  <Lines>251</Lines>
  <Paragraphs>70</Paragraphs>
  <ScaleCrop>false</ScaleCrop>
  <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18</cp:revision>
  <dcterms:created xsi:type="dcterms:W3CDTF">2016-07-22T19:31:00Z</dcterms:created>
  <dcterms:modified xsi:type="dcterms:W3CDTF">2016-08-23T13:11:00Z</dcterms:modified>
</cp:coreProperties>
</file>